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0323" w:rsidRPr="00240323" w:rsidRDefault="00240323" w:rsidP="00240323">
      <w:pPr>
        <w:widowControl/>
        <w:shd w:val="clear" w:color="auto" w:fill="FFFFFF"/>
        <w:spacing w:line="383" w:lineRule="atLeast"/>
        <w:ind w:firstLine="420"/>
        <w:jc w:val="center"/>
        <w:rPr>
          <w:rFonts w:ascii="仿宋_GB2312" w:eastAsia="仿宋_GB2312" w:hAnsi="仿宋_GB2312" w:cs="仿宋_GB2312"/>
          <w:b/>
          <w:bCs/>
          <w:color w:val="000000"/>
          <w:spacing w:val="8"/>
          <w:kern w:val="0"/>
          <w:sz w:val="36"/>
          <w:szCs w:val="36"/>
        </w:rPr>
      </w:pPr>
      <w:r w:rsidRPr="00240323">
        <w:rPr>
          <w:rFonts w:ascii="仿宋_GB2312" w:eastAsia="仿宋_GB2312" w:hAnsi="仿宋_GB2312" w:cs="仿宋_GB2312"/>
          <w:b/>
          <w:bCs/>
          <w:color w:val="000000"/>
          <w:spacing w:val="8"/>
          <w:kern w:val="0"/>
          <w:sz w:val="36"/>
          <w:szCs w:val="36"/>
        </w:rPr>
        <w:t>《中国药典》2020年版基本概况和主要特点</w:t>
      </w:r>
    </w:p>
    <w:p w:rsidR="00240323" w:rsidRPr="00240323" w:rsidRDefault="00240323" w:rsidP="00240323">
      <w:pPr>
        <w:widowControl/>
        <w:shd w:val="clear" w:color="auto" w:fill="FFFFFF"/>
        <w:spacing w:line="383" w:lineRule="atLeast"/>
        <w:ind w:firstLine="420"/>
        <w:jc w:val="center"/>
        <w:rPr>
          <w:rFonts w:ascii="Helvetica Neue" w:eastAsia="宋体" w:hAnsi="Helvetica Neue" w:cs="宋体" w:hint="eastAsia"/>
          <w:color w:val="333333"/>
          <w:spacing w:val="8"/>
          <w:kern w:val="0"/>
          <w:sz w:val="26"/>
          <w:szCs w:val="26"/>
        </w:rPr>
      </w:pPr>
      <w:r w:rsidRPr="00240323">
        <w:rPr>
          <w:rFonts w:ascii="仿宋_GB2312" w:eastAsia="仿宋_GB2312" w:hAnsi="仿宋_GB2312" w:cs="仿宋_GB2312" w:hint="eastAsia"/>
          <w:color w:val="000000"/>
          <w:spacing w:val="8"/>
          <w:kern w:val="0"/>
          <w:sz w:val="29"/>
          <w:szCs w:val="29"/>
        </w:rPr>
        <w:t>《中国药品标准》杂志 第21卷 第3期</w:t>
      </w:r>
    </w:p>
    <w:p w:rsidR="00240323" w:rsidRPr="00240323" w:rsidRDefault="00240323" w:rsidP="00240323">
      <w:pPr>
        <w:widowControl/>
        <w:shd w:val="clear" w:color="auto" w:fill="FFFFFF"/>
        <w:spacing w:line="383" w:lineRule="atLeast"/>
        <w:ind w:firstLine="420"/>
        <w:jc w:val="center"/>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9"/>
          <w:szCs w:val="29"/>
        </w:rPr>
        <w:t>作者：兰奋 洪小栩 宋宗华 张伟</w:t>
      </w:r>
    </w:p>
    <w:p w:rsidR="00240323" w:rsidRPr="00240323" w:rsidRDefault="00240323" w:rsidP="00240323">
      <w:pPr>
        <w:widowControl/>
        <w:shd w:val="clear" w:color="auto" w:fill="FFFFFF"/>
        <w:spacing w:line="383" w:lineRule="atLeast"/>
        <w:ind w:firstLine="420"/>
        <w:rPr>
          <w:rFonts w:ascii="Helvetica Neue" w:eastAsia="宋体" w:hAnsi="Helvetica Neue" w:cs="宋体"/>
          <w:color w:val="333333"/>
          <w:spacing w:val="8"/>
          <w:kern w:val="0"/>
          <w:sz w:val="26"/>
          <w:szCs w:val="26"/>
        </w:rPr>
      </w:pPr>
    </w:p>
    <w:p w:rsidR="00240323" w:rsidRDefault="00240323" w:rsidP="00240323">
      <w:pPr>
        <w:widowControl/>
        <w:rPr>
          <w:rFonts w:ascii="宋体" w:eastAsia="宋体" w:hAnsi="宋体" w:cs="宋体"/>
          <w:color w:val="000000"/>
          <w:kern w:val="0"/>
          <w:sz w:val="23"/>
          <w:szCs w:val="23"/>
        </w:rPr>
      </w:pPr>
      <w:r w:rsidRPr="00240323">
        <w:rPr>
          <w:rFonts w:ascii="仿宋_GB2312" w:eastAsia="仿宋_GB2312" w:hAnsi="仿宋_GB2312" w:cs="仿宋_GB2312" w:hint="eastAsia"/>
          <w:b/>
          <w:bCs/>
          <w:color w:val="000000"/>
          <w:kern w:val="0"/>
          <w:sz w:val="23"/>
          <w:szCs w:val="23"/>
        </w:rPr>
        <w:t>摘要：</w:t>
      </w:r>
      <w:r w:rsidRPr="00240323">
        <w:rPr>
          <w:rFonts w:ascii="宋体" w:eastAsia="宋体" w:hAnsi="宋体" w:cs="宋体"/>
          <w:color w:val="FF0000"/>
          <w:kern w:val="0"/>
          <w:sz w:val="23"/>
          <w:szCs w:val="23"/>
        </w:rPr>
        <w:t>2020</w:t>
      </w:r>
      <w:r w:rsidRPr="00240323">
        <w:rPr>
          <w:rFonts w:ascii="仿宋_GB2312" w:eastAsia="仿宋_GB2312" w:hAnsi="仿宋_GB2312" w:cs="仿宋_GB2312" w:hint="eastAsia"/>
          <w:color w:val="FF0000"/>
          <w:kern w:val="0"/>
          <w:sz w:val="23"/>
          <w:szCs w:val="23"/>
        </w:rPr>
        <w:t>年版《中国药典》是新中国成立以来的第十一版药典，将于</w:t>
      </w:r>
      <w:r w:rsidRPr="00240323">
        <w:rPr>
          <w:rFonts w:ascii="宋体" w:eastAsia="宋体" w:hAnsi="宋体" w:cs="宋体"/>
          <w:color w:val="FF0000"/>
          <w:kern w:val="0"/>
          <w:sz w:val="23"/>
          <w:szCs w:val="23"/>
        </w:rPr>
        <w:t>2020</w:t>
      </w:r>
      <w:r w:rsidRPr="00240323">
        <w:rPr>
          <w:rFonts w:ascii="仿宋_GB2312" w:eastAsia="仿宋_GB2312" w:hAnsi="仿宋_GB2312" w:cs="仿宋_GB2312" w:hint="eastAsia"/>
          <w:color w:val="FF0000"/>
          <w:kern w:val="0"/>
          <w:sz w:val="23"/>
          <w:szCs w:val="23"/>
        </w:rPr>
        <w:t>年</w:t>
      </w:r>
      <w:r w:rsidRPr="00240323">
        <w:rPr>
          <w:rFonts w:ascii="宋体" w:eastAsia="宋体" w:hAnsi="宋体" w:cs="宋体"/>
          <w:color w:val="FF0000"/>
          <w:kern w:val="0"/>
          <w:sz w:val="23"/>
          <w:szCs w:val="23"/>
        </w:rPr>
        <w:t>12</w:t>
      </w:r>
      <w:r w:rsidRPr="00240323">
        <w:rPr>
          <w:rFonts w:ascii="仿宋_GB2312" w:eastAsia="仿宋_GB2312" w:hAnsi="仿宋_GB2312" w:cs="仿宋_GB2312" w:hint="eastAsia"/>
          <w:color w:val="FF0000"/>
          <w:kern w:val="0"/>
          <w:sz w:val="23"/>
          <w:szCs w:val="23"/>
        </w:rPr>
        <w:t>月</w:t>
      </w:r>
      <w:r w:rsidRPr="00240323">
        <w:rPr>
          <w:rFonts w:ascii="宋体" w:eastAsia="宋体" w:hAnsi="宋体" w:cs="宋体"/>
          <w:color w:val="FF0000"/>
          <w:kern w:val="0"/>
          <w:sz w:val="23"/>
          <w:szCs w:val="23"/>
        </w:rPr>
        <w:t>1</w:t>
      </w:r>
      <w:r w:rsidRPr="00240323">
        <w:rPr>
          <w:rFonts w:ascii="仿宋_GB2312" w:eastAsia="仿宋_GB2312" w:hAnsi="仿宋_GB2312" w:cs="仿宋_GB2312" w:hint="eastAsia"/>
          <w:color w:val="FF0000"/>
          <w:kern w:val="0"/>
          <w:sz w:val="23"/>
          <w:szCs w:val="23"/>
        </w:rPr>
        <w:t>日正式实施。</w:t>
      </w:r>
      <w:r w:rsidRPr="00240323">
        <w:rPr>
          <w:rFonts w:ascii="仿宋_GB2312" w:eastAsia="仿宋_GB2312" w:hAnsi="仿宋_GB2312" w:cs="仿宋_GB2312" w:hint="eastAsia"/>
          <w:color w:val="000000"/>
          <w:kern w:val="0"/>
          <w:sz w:val="23"/>
          <w:szCs w:val="23"/>
        </w:rPr>
        <w:t>本文对</w:t>
      </w:r>
      <w:r w:rsidRPr="00240323">
        <w:rPr>
          <w:rFonts w:ascii="宋体" w:eastAsia="宋体" w:hAnsi="宋体" w:cs="宋体"/>
          <w:color w:val="000000"/>
          <w:kern w:val="0"/>
          <w:sz w:val="23"/>
          <w:szCs w:val="23"/>
        </w:rPr>
        <w:t>2020</w:t>
      </w:r>
      <w:r w:rsidRPr="00240323">
        <w:rPr>
          <w:rFonts w:ascii="仿宋_GB2312" w:eastAsia="仿宋_GB2312" w:hAnsi="仿宋_GB2312" w:cs="仿宋_GB2312" w:hint="eastAsia"/>
          <w:color w:val="000000"/>
          <w:kern w:val="0"/>
          <w:sz w:val="23"/>
          <w:szCs w:val="23"/>
        </w:rPr>
        <w:t>年版药典的整体情况进行了概要介绍。新版药典在品种收载、贯彻药品全生命周期管理理念、完善药品标准体系、加强药品安全性有效性控制、扩大成熟分析检测技术的应用、加强与国际药品标准协调等方面均取得了新的进展。新版药典的实施将对整体提升我国药品标准水平，提高药品质量，保证公众用药安全有效，促进医药产业高质量发展发挥重要作用。</w:t>
      </w:r>
      <w:r w:rsidRPr="00240323">
        <w:rPr>
          <w:rFonts w:ascii="仿宋_GB2312" w:eastAsia="仿宋_GB2312" w:hAnsi="仿宋_GB2312" w:cs="仿宋_GB2312" w:hint="eastAsia"/>
          <w:b/>
          <w:bCs/>
          <w:color w:val="000000"/>
          <w:kern w:val="0"/>
          <w:sz w:val="23"/>
          <w:szCs w:val="23"/>
        </w:rPr>
        <w:t>关键词：</w:t>
      </w:r>
      <w:r w:rsidRPr="00240323">
        <w:rPr>
          <w:rFonts w:ascii="仿宋_GB2312" w:eastAsia="仿宋_GB2312" w:hAnsi="仿宋_GB2312" w:cs="仿宋_GB2312" w:hint="eastAsia"/>
          <w:color w:val="000000"/>
          <w:kern w:val="0"/>
          <w:sz w:val="23"/>
          <w:szCs w:val="23"/>
        </w:rPr>
        <w:t>中国药典，药品标准，质量控制</w:t>
      </w:r>
      <w:r w:rsidRPr="00240323">
        <w:rPr>
          <w:rFonts w:ascii="宋体" w:eastAsia="宋体" w:hAnsi="宋体" w:cs="宋体"/>
          <w:color w:val="000000"/>
          <w:kern w:val="0"/>
          <w:sz w:val="23"/>
          <w:szCs w:val="23"/>
        </w:rPr>
        <w:t> </w:t>
      </w:r>
      <w:r w:rsidRPr="00240323">
        <w:rPr>
          <w:rFonts w:ascii="宋体" w:eastAsia="宋体" w:hAnsi="宋体" w:cs="宋体"/>
          <w:color w:val="000000"/>
          <w:kern w:val="0"/>
          <w:sz w:val="23"/>
          <w:szCs w:val="23"/>
        </w:rPr>
        <w:br/>
      </w:r>
      <w:r w:rsidRPr="00240323">
        <w:rPr>
          <w:rFonts w:ascii="宋体" w:eastAsia="宋体" w:hAnsi="宋体" w:cs="宋体"/>
          <w:b/>
          <w:bCs/>
          <w:color w:val="000000"/>
          <w:kern w:val="0"/>
          <w:sz w:val="23"/>
          <w:szCs w:val="23"/>
        </w:rPr>
        <w:t xml:space="preserve">Overview of the Chinese Pharmacopoeia 2020 </w:t>
      </w:r>
      <w:proofErr w:type="spellStart"/>
      <w:r w:rsidRPr="00240323">
        <w:rPr>
          <w:rFonts w:ascii="宋体" w:eastAsia="宋体" w:hAnsi="宋体" w:cs="宋体"/>
          <w:b/>
          <w:bCs/>
          <w:color w:val="000000"/>
          <w:kern w:val="0"/>
          <w:sz w:val="23"/>
          <w:szCs w:val="23"/>
        </w:rPr>
        <w:t>Edition</w:t>
      </w:r>
      <w:r w:rsidRPr="00240323">
        <w:rPr>
          <w:rFonts w:ascii="宋体" w:eastAsia="宋体" w:hAnsi="宋体" w:cs="宋体"/>
          <w:color w:val="000000"/>
          <w:kern w:val="0"/>
          <w:sz w:val="23"/>
          <w:szCs w:val="23"/>
        </w:rPr>
        <w:t>Lan</w:t>
      </w:r>
      <w:proofErr w:type="spellEnd"/>
      <w:r w:rsidRPr="00240323">
        <w:rPr>
          <w:rFonts w:ascii="宋体" w:eastAsia="宋体" w:hAnsi="宋体" w:cs="宋体"/>
          <w:color w:val="000000"/>
          <w:kern w:val="0"/>
          <w:sz w:val="23"/>
          <w:szCs w:val="23"/>
        </w:rPr>
        <w:t xml:space="preserve"> Fen, Hong Xiao-</w:t>
      </w:r>
      <w:proofErr w:type="spellStart"/>
      <w:r w:rsidRPr="00240323">
        <w:rPr>
          <w:rFonts w:ascii="宋体" w:eastAsia="宋体" w:hAnsi="宋体" w:cs="宋体"/>
          <w:color w:val="000000"/>
          <w:kern w:val="0"/>
          <w:sz w:val="23"/>
          <w:szCs w:val="23"/>
        </w:rPr>
        <w:t>xu</w:t>
      </w:r>
      <w:proofErr w:type="spellEnd"/>
      <w:r w:rsidRPr="00240323">
        <w:rPr>
          <w:rFonts w:ascii="宋体" w:eastAsia="宋体" w:hAnsi="宋体" w:cs="宋体"/>
          <w:color w:val="000000"/>
          <w:kern w:val="0"/>
          <w:sz w:val="23"/>
          <w:szCs w:val="23"/>
        </w:rPr>
        <w:t xml:space="preserve">, Song </w:t>
      </w:r>
      <w:proofErr w:type="spellStart"/>
      <w:r w:rsidRPr="00240323">
        <w:rPr>
          <w:rFonts w:ascii="宋体" w:eastAsia="宋体" w:hAnsi="宋体" w:cs="宋体"/>
          <w:color w:val="000000"/>
          <w:kern w:val="0"/>
          <w:sz w:val="23"/>
          <w:szCs w:val="23"/>
        </w:rPr>
        <w:t>Zong-hua</w:t>
      </w:r>
      <w:proofErr w:type="spellEnd"/>
      <w:r w:rsidRPr="00240323">
        <w:rPr>
          <w:rFonts w:ascii="宋体" w:eastAsia="宋体" w:hAnsi="宋体" w:cs="宋体"/>
          <w:color w:val="000000"/>
          <w:kern w:val="0"/>
          <w:sz w:val="23"/>
          <w:szCs w:val="23"/>
        </w:rPr>
        <w:t xml:space="preserve">, Zhang </w:t>
      </w:r>
      <w:proofErr w:type="spellStart"/>
      <w:r w:rsidRPr="00240323">
        <w:rPr>
          <w:rFonts w:ascii="宋体" w:eastAsia="宋体" w:hAnsi="宋体" w:cs="宋体"/>
          <w:color w:val="000000"/>
          <w:kern w:val="0"/>
          <w:sz w:val="23"/>
          <w:szCs w:val="23"/>
        </w:rPr>
        <w:t>WeiChinese</w:t>
      </w:r>
      <w:proofErr w:type="spellEnd"/>
      <w:r w:rsidRPr="00240323">
        <w:rPr>
          <w:rFonts w:ascii="宋体" w:eastAsia="宋体" w:hAnsi="宋体" w:cs="宋体"/>
          <w:color w:val="000000"/>
          <w:kern w:val="0"/>
          <w:sz w:val="23"/>
          <w:szCs w:val="23"/>
        </w:rPr>
        <w:t xml:space="preserve"> Pharmacopoeia </w:t>
      </w:r>
      <w:proofErr w:type="spellStart"/>
      <w:r w:rsidRPr="00240323">
        <w:rPr>
          <w:rFonts w:ascii="宋体" w:eastAsia="宋体" w:hAnsi="宋体" w:cs="宋体"/>
          <w:color w:val="000000"/>
          <w:kern w:val="0"/>
          <w:sz w:val="23"/>
          <w:szCs w:val="23"/>
        </w:rPr>
        <w:t>Commission</w:t>
      </w:r>
      <w:r w:rsidRPr="00240323">
        <w:rPr>
          <w:rFonts w:ascii="宋体" w:eastAsia="宋体" w:hAnsi="宋体" w:cs="宋体"/>
          <w:b/>
          <w:bCs/>
          <w:color w:val="000000"/>
          <w:kern w:val="0"/>
          <w:sz w:val="23"/>
          <w:szCs w:val="23"/>
        </w:rPr>
        <w:t>Abstract:</w:t>
      </w:r>
      <w:r w:rsidRPr="00240323">
        <w:rPr>
          <w:rFonts w:ascii="宋体" w:eastAsia="宋体" w:hAnsi="宋体" w:cs="宋体"/>
          <w:color w:val="FF0000"/>
          <w:kern w:val="0"/>
          <w:sz w:val="23"/>
          <w:szCs w:val="23"/>
        </w:rPr>
        <w:t>The</w:t>
      </w:r>
      <w:proofErr w:type="spellEnd"/>
      <w:r w:rsidRPr="00240323">
        <w:rPr>
          <w:rFonts w:ascii="宋体" w:eastAsia="宋体" w:hAnsi="宋体" w:cs="宋体"/>
          <w:color w:val="FF0000"/>
          <w:kern w:val="0"/>
          <w:sz w:val="23"/>
          <w:szCs w:val="23"/>
        </w:rPr>
        <w:t xml:space="preserve"> Chinese Pharmacopoeia (</w:t>
      </w:r>
      <w:proofErr w:type="spellStart"/>
      <w:r w:rsidRPr="00240323">
        <w:rPr>
          <w:rFonts w:ascii="宋体" w:eastAsia="宋体" w:hAnsi="宋体" w:cs="宋体"/>
          <w:color w:val="FF0000"/>
          <w:kern w:val="0"/>
          <w:sz w:val="23"/>
          <w:szCs w:val="23"/>
        </w:rPr>
        <w:t>ChP</w:t>
      </w:r>
      <w:proofErr w:type="spellEnd"/>
      <w:r w:rsidRPr="00240323">
        <w:rPr>
          <w:rFonts w:ascii="宋体" w:eastAsia="宋体" w:hAnsi="宋体" w:cs="宋体"/>
          <w:color w:val="FF0000"/>
          <w:kern w:val="0"/>
          <w:sz w:val="23"/>
          <w:szCs w:val="23"/>
        </w:rPr>
        <w:t xml:space="preserve">) 2020 </w:t>
      </w:r>
      <w:proofErr w:type="spellStart"/>
      <w:r w:rsidRPr="00240323">
        <w:rPr>
          <w:rFonts w:ascii="宋体" w:eastAsia="宋体" w:hAnsi="宋体" w:cs="宋体"/>
          <w:color w:val="FF0000"/>
          <w:kern w:val="0"/>
          <w:sz w:val="23"/>
          <w:szCs w:val="23"/>
        </w:rPr>
        <w:t>edition,which</w:t>
      </w:r>
      <w:proofErr w:type="spellEnd"/>
      <w:r w:rsidRPr="00240323">
        <w:rPr>
          <w:rFonts w:ascii="宋体" w:eastAsia="宋体" w:hAnsi="宋体" w:cs="宋体"/>
          <w:color w:val="FF0000"/>
          <w:kern w:val="0"/>
          <w:sz w:val="23"/>
          <w:szCs w:val="23"/>
        </w:rPr>
        <w:t xml:space="preserve"> is the 11th edition since the first edition </w:t>
      </w:r>
      <w:proofErr w:type="spellStart"/>
      <w:r w:rsidRPr="00240323">
        <w:rPr>
          <w:rFonts w:ascii="宋体" w:eastAsia="宋体" w:hAnsi="宋体" w:cs="宋体"/>
          <w:color w:val="FF0000"/>
          <w:kern w:val="0"/>
          <w:sz w:val="23"/>
          <w:szCs w:val="23"/>
        </w:rPr>
        <w:t>ChP</w:t>
      </w:r>
      <w:proofErr w:type="spellEnd"/>
      <w:r w:rsidRPr="00240323">
        <w:rPr>
          <w:rFonts w:ascii="宋体" w:eastAsia="宋体" w:hAnsi="宋体" w:cs="宋体"/>
          <w:color w:val="FF0000"/>
          <w:kern w:val="0"/>
          <w:sz w:val="23"/>
          <w:szCs w:val="23"/>
        </w:rPr>
        <w:t xml:space="preserve"> was issued in 1953, </w:t>
      </w:r>
      <w:proofErr w:type="spellStart"/>
      <w:r w:rsidRPr="00240323">
        <w:rPr>
          <w:rFonts w:ascii="宋体" w:eastAsia="宋体" w:hAnsi="宋体" w:cs="宋体"/>
          <w:color w:val="FF0000"/>
          <w:kern w:val="0"/>
          <w:sz w:val="23"/>
          <w:szCs w:val="23"/>
        </w:rPr>
        <w:t>willbe</w:t>
      </w:r>
      <w:proofErr w:type="spellEnd"/>
      <w:r w:rsidRPr="00240323">
        <w:rPr>
          <w:rFonts w:ascii="宋体" w:eastAsia="宋体" w:hAnsi="宋体" w:cs="宋体"/>
          <w:color w:val="FF0000"/>
          <w:kern w:val="0"/>
          <w:sz w:val="23"/>
          <w:szCs w:val="23"/>
        </w:rPr>
        <w:t xml:space="preserve"> put into implementation on December 1, 2020</w:t>
      </w:r>
      <w:r w:rsidRPr="00240323">
        <w:rPr>
          <w:rFonts w:ascii="宋体" w:eastAsia="宋体" w:hAnsi="宋体" w:cs="宋体"/>
          <w:color w:val="000000"/>
          <w:kern w:val="0"/>
          <w:sz w:val="23"/>
          <w:szCs w:val="23"/>
        </w:rPr>
        <w:t xml:space="preserve">. This </w:t>
      </w:r>
      <w:proofErr w:type="spellStart"/>
      <w:r w:rsidRPr="00240323">
        <w:rPr>
          <w:rFonts w:ascii="宋体" w:eastAsia="宋体" w:hAnsi="宋体" w:cs="宋体"/>
          <w:color w:val="000000"/>
          <w:kern w:val="0"/>
          <w:sz w:val="23"/>
          <w:szCs w:val="23"/>
        </w:rPr>
        <w:t>papar</w:t>
      </w:r>
      <w:proofErr w:type="spellEnd"/>
      <w:r w:rsidRPr="00240323">
        <w:rPr>
          <w:rFonts w:ascii="宋体" w:eastAsia="宋体" w:hAnsi="宋体" w:cs="宋体"/>
          <w:color w:val="000000"/>
          <w:kern w:val="0"/>
          <w:sz w:val="23"/>
          <w:szCs w:val="23"/>
        </w:rPr>
        <w:t xml:space="preserve"> gives a </w:t>
      </w:r>
      <w:proofErr w:type="spellStart"/>
      <w:r w:rsidRPr="00240323">
        <w:rPr>
          <w:rFonts w:ascii="宋体" w:eastAsia="宋体" w:hAnsi="宋体" w:cs="宋体"/>
          <w:color w:val="000000"/>
          <w:kern w:val="0"/>
          <w:sz w:val="23"/>
          <w:szCs w:val="23"/>
        </w:rPr>
        <w:t>briefintroduction</w:t>
      </w:r>
      <w:proofErr w:type="spellEnd"/>
      <w:r w:rsidRPr="00240323">
        <w:rPr>
          <w:rFonts w:ascii="宋体" w:eastAsia="宋体" w:hAnsi="宋体" w:cs="宋体"/>
          <w:color w:val="000000"/>
          <w:kern w:val="0"/>
          <w:sz w:val="23"/>
          <w:szCs w:val="23"/>
        </w:rPr>
        <w:t xml:space="preserve"> on the development of the </w:t>
      </w:r>
      <w:proofErr w:type="spellStart"/>
      <w:r w:rsidRPr="00240323">
        <w:rPr>
          <w:rFonts w:ascii="宋体" w:eastAsia="宋体" w:hAnsi="宋体" w:cs="宋体"/>
          <w:color w:val="000000"/>
          <w:kern w:val="0"/>
          <w:sz w:val="23"/>
          <w:szCs w:val="23"/>
        </w:rPr>
        <w:t>ChP</w:t>
      </w:r>
      <w:proofErr w:type="spellEnd"/>
      <w:r w:rsidRPr="00240323">
        <w:rPr>
          <w:rFonts w:ascii="宋体" w:eastAsia="宋体" w:hAnsi="宋体" w:cs="宋体"/>
          <w:color w:val="000000"/>
          <w:kern w:val="0"/>
          <w:sz w:val="23"/>
          <w:szCs w:val="23"/>
        </w:rPr>
        <w:t xml:space="preserve"> 2020 edition. It is made </w:t>
      </w:r>
      <w:proofErr w:type="spellStart"/>
      <w:r w:rsidRPr="00240323">
        <w:rPr>
          <w:rFonts w:ascii="宋体" w:eastAsia="宋体" w:hAnsi="宋体" w:cs="宋体"/>
          <w:color w:val="000000"/>
          <w:kern w:val="0"/>
          <w:sz w:val="23"/>
          <w:szCs w:val="23"/>
        </w:rPr>
        <w:t>greatachievements</w:t>
      </w:r>
      <w:proofErr w:type="spellEnd"/>
      <w:r w:rsidRPr="00240323">
        <w:rPr>
          <w:rFonts w:ascii="宋体" w:eastAsia="宋体" w:hAnsi="宋体" w:cs="宋体"/>
          <w:color w:val="000000"/>
          <w:kern w:val="0"/>
          <w:sz w:val="23"/>
          <w:szCs w:val="23"/>
        </w:rPr>
        <w:t xml:space="preserve"> for the </w:t>
      </w:r>
      <w:proofErr w:type="spellStart"/>
      <w:r w:rsidRPr="00240323">
        <w:rPr>
          <w:rFonts w:ascii="宋体" w:eastAsia="宋体" w:hAnsi="宋体" w:cs="宋体"/>
          <w:color w:val="000000"/>
          <w:kern w:val="0"/>
          <w:sz w:val="23"/>
          <w:szCs w:val="23"/>
        </w:rPr>
        <w:t>ChP</w:t>
      </w:r>
      <w:proofErr w:type="spellEnd"/>
      <w:r w:rsidRPr="00240323">
        <w:rPr>
          <w:rFonts w:ascii="宋体" w:eastAsia="宋体" w:hAnsi="宋体" w:cs="宋体"/>
          <w:color w:val="000000"/>
          <w:kern w:val="0"/>
          <w:sz w:val="23"/>
          <w:szCs w:val="23"/>
        </w:rPr>
        <w:t xml:space="preserve"> 2020 edition on increasing the number of </w:t>
      </w:r>
      <w:proofErr w:type="spellStart"/>
      <w:r w:rsidRPr="00240323">
        <w:rPr>
          <w:rFonts w:ascii="宋体" w:eastAsia="宋体" w:hAnsi="宋体" w:cs="宋体"/>
          <w:color w:val="000000"/>
          <w:kern w:val="0"/>
          <w:sz w:val="23"/>
          <w:szCs w:val="23"/>
        </w:rPr>
        <w:t>monographincluded,carrying</w:t>
      </w:r>
      <w:proofErr w:type="spellEnd"/>
      <w:r w:rsidRPr="00240323">
        <w:rPr>
          <w:rFonts w:ascii="宋体" w:eastAsia="宋体" w:hAnsi="宋体" w:cs="宋体"/>
          <w:color w:val="000000"/>
          <w:kern w:val="0"/>
          <w:sz w:val="23"/>
          <w:szCs w:val="23"/>
        </w:rPr>
        <w:t xml:space="preserve"> out the idea of the drug life cycle </w:t>
      </w:r>
      <w:proofErr w:type="spellStart"/>
      <w:r w:rsidRPr="00240323">
        <w:rPr>
          <w:rFonts w:ascii="宋体" w:eastAsia="宋体" w:hAnsi="宋体" w:cs="宋体"/>
          <w:color w:val="000000"/>
          <w:kern w:val="0"/>
          <w:sz w:val="23"/>
          <w:szCs w:val="23"/>
        </w:rPr>
        <w:t>management,Improving</w:t>
      </w:r>
      <w:proofErr w:type="spellEnd"/>
      <w:r w:rsidRPr="00240323">
        <w:rPr>
          <w:rFonts w:ascii="宋体" w:eastAsia="宋体" w:hAnsi="宋体" w:cs="宋体"/>
          <w:color w:val="000000"/>
          <w:kern w:val="0"/>
          <w:sz w:val="23"/>
          <w:szCs w:val="23"/>
        </w:rPr>
        <w:t xml:space="preserve"> </w:t>
      </w:r>
      <w:proofErr w:type="spellStart"/>
      <w:r w:rsidRPr="00240323">
        <w:rPr>
          <w:rFonts w:ascii="宋体" w:eastAsia="宋体" w:hAnsi="宋体" w:cs="宋体"/>
          <w:color w:val="000000"/>
          <w:kern w:val="0"/>
          <w:sz w:val="23"/>
          <w:szCs w:val="23"/>
        </w:rPr>
        <w:t>thenational</w:t>
      </w:r>
      <w:proofErr w:type="spellEnd"/>
      <w:r w:rsidRPr="00240323">
        <w:rPr>
          <w:rFonts w:ascii="宋体" w:eastAsia="宋体" w:hAnsi="宋体" w:cs="宋体"/>
          <w:color w:val="000000"/>
          <w:kern w:val="0"/>
          <w:sz w:val="23"/>
          <w:szCs w:val="23"/>
        </w:rPr>
        <w:t xml:space="preserve"> drug standards system, ,improving requirements on drug safety </w:t>
      </w:r>
      <w:proofErr w:type="spellStart"/>
      <w:r w:rsidRPr="00240323">
        <w:rPr>
          <w:rFonts w:ascii="宋体" w:eastAsia="宋体" w:hAnsi="宋体" w:cs="宋体"/>
          <w:color w:val="000000"/>
          <w:kern w:val="0"/>
          <w:sz w:val="23"/>
          <w:szCs w:val="23"/>
        </w:rPr>
        <w:t>andefficacy,adopting</w:t>
      </w:r>
      <w:proofErr w:type="spellEnd"/>
      <w:r w:rsidRPr="00240323">
        <w:rPr>
          <w:rFonts w:ascii="宋体" w:eastAsia="宋体" w:hAnsi="宋体" w:cs="宋体"/>
          <w:color w:val="000000"/>
          <w:kern w:val="0"/>
          <w:sz w:val="23"/>
          <w:szCs w:val="23"/>
        </w:rPr>
        <w:t xml:space="preserve"> more mature analytical techniques as well as </w:t>
      </w:r>
      <w:proofErr w:type="spellStart"/>
      <w:r w:rsidRPr="00240323">
        <w:rPr>
          <w:rFonts w:ascii="宋体" w:eastAsia="宋体" w:hAnsi="宋体" w:cs="宋体"/>
          <w:color w:val="000000"/>
          <w:kern w:val="0"/>
          <w:sz w:val="23"/>
          <w:szCs w:val="23"/>
        </w:rPr>
        <w:t>strengtheningthe</w:t>
      </w:r>
      <w:proofErr w:type="spellEnd"/>
      <w:r w:rsidRPr="00240323">
        <w:rPr>
          <w:rFonts w:ascii="宋体" w:eastAsia="宋体" w:hAnsi="宋体" w:cs="宋体"/>
          <w:color w:val="000000"/>
          <w:kern w:val="0"/>
          <w:sz w:val="23"/>
          <w:szCs w:val="23"/>
        </w:rPr>
        <w:t xml:space="preserve"> international drug standards harmonization. It will play important role </w:t>
      </w:r>
      <w:proofErr w:type="spellStart"/>
      <w:r w:rsidRPr="00240323">
        <w:rPr>
          <w:rFonts w:ascii="宋体" w:eastAsia="宋体" w:hAnsi="宋体" w:cs="宋体"/>
          <w:color w:val="000000"/>
          <w:kern w:val="0"/>
          <w:sz w:val="23"/>
          <w:szCs w:val="23"/>
        </w:rPr>
        <w:t>forthe</w:t>
      </w:r>
      <w:proofErr w:type="spellEnd"/>
      <w:r w:rsidRPr="00240323">
        <w:rPr>
          <w:rFonts w:ascii="宋体" w:eastAsia="宋体" w:hAnsi="宋体" w:cs="宋体"/>
          <w:color w:val="000000"/>
          <w:kern w:val="0"/>
          <w:sz w:val="23"/>
          <w:szCs w:val="23"/>
        </w:rPr>
        <w:t xml:space="preserve"> new edition </w:t>
      </w:r>
      <w:proofErr w:type="spellStart"/>
      <w:r w:rsidRPr="00240323">
        <w:rPr>
          <w:rFonts w:ascii="宋体" w:eastAsia="宋体" w:hAnsi="宋体" w:cs="宋体"/>
          <w:color w:val="000000"/>
          <w:kern w:val="0"/>
          <w:sz w:val="23"/>
          <w:szCs w:val="23"/>
        </w:rPr>
        <w:t>ChP</w:t>
      </w:r>
      <w:proofErr w:type="spellEnd"/>
      <w:r w:rsidRPr="00240323">
        <w:rPr>
          <w:rFonts w:ascii="宋体" w:eastAsia="宋体" w:hAnsi="宋体" w:cs="宋体"/>
          <w:color w:val="000000"/>
          <w:kern w:val="0"/>
          <w:sz w:val="23"/>
          <w:szCs w:val="23"/>
        </w:rPr>
        <w:t xml:space="preserve"> implementation to improve the level of the National </w:t>
      </w:r>
      <w:proofErr w:type="spellStart"/>
      <w:r w:rsidRPr="00240323">
        <w:rPr>
          <w:rFonts w:ascii="宋体" w:eastAsia="宋体" w:hAnsi="宋体" w:cs="宋体"/>
          <w:color w:val="000000"/>
          <w:kern w:val="0"/>
          <w:sz w:val="23"/>
          <w:szCs w:val="23"/>
        </w:rPr>
        <w:t>DrugStandards</w:t>
      </w:r>
      <w:proofErr w:type="spellEnd"/>
      <w:r w:rsidRPr="00240323">
        <w:rPr>
          <w:rFonts w:ascii="宋体" w:eastAsia="宋体" w:hAnsi="宋体" w:cs="宋体"/>
          <w:color w:val="000000"/>
          <w:kern w:val="0"/>
          <w:sz w:val="23"/>
          <w:szCs w:val="23"/>
        </w:rPr>
        <w:t xml:space="preserve">, assure the drug quality and guarantee the public drug-use safety </w:t>
      </w:r>
      <w:proofErr w:type="spellStart"/>
      <w:r w:rsidRPr="00240323">
        <w:rPr>
          <w:rFonts w:ascii="宋体" w:eastAsia="宋体" w:hAnsi="宋体" w:cs="宋体"/>
          <w:color w:val="000000"/>
          <w:kern w:val="0"/>
          <w:sz w:val="23"/>
          <w:szCs w:val="23"/>
        </w:rPr>
        <w:t>andput</w:t>
      </w:r>
      <w:proofErr w:type="spellEnd"/>
      <w:r w:rsidRPr="00240323">
        <w:rPr>
          <w:rFonts w:ascii="宋体" w:eastAsia="宋体" w:hAnsi="宋体" w:cs="宋体"/>
          <w:color w:val="000000"/>
          <w:kern w:val="0"/>
          <w:sz w:val="23"/>
          <w:szCs w:val="23"/>
        </w:rPr>
        <w:t xml:space="preserve"> forward the high quality development for the pharmaceutical industry </w:t>
      </w:r>
      <w:proofErr w:type="spellStart"/>
      <w:r w:rsidRPr="00240323">
        <w:rPr>
          <w:rFonts w:ascii="宋体" w:eastAsia="宋体" w:hAnsi="宋体" w:cs="宋体"/>
          <w:color w:val="000000"/>
          <w:kern w:val="0"/>
          <w:sz w:val="23"/>
          <w:szCs w:val="23"/>
        </w:rPr>
        <w:t>inChina.</w:t>
      </w:r>
      <w:proofErr w:type="spellEnd"/>
    </w:p>
    <w:p w:rsidR="00240323" w:rsidRDefault="00240323" w:rsidP="00240323">
      <w:pPr>
        <w:widowControl/>
        <w:jc w:val="left"/>
        <w:rPr>
          <w:rFonts w:ascii="宋体" w:eastAsia="宋体" w:hAnsi="宋体" w:cs="宋体"/>
          <w:color w:val="000000"/>
          <w:kern w:val="0"/>
          <w:sz w:val="23"/>
          <w:szCs w:val="23"/>
        </w:rPr>
      </w:pPr>
      <w:r w:rsidRPr="00240323">
        <w:rPr>
          <w:rFonts w:ascii="宋体" w:eastAsia="宋体" w:hAnsi="宋体" w:cs="宋体"/>
          <w:b/>
          <w:bCs/>
          <w:color w:val="000000"/>
          <w:kern w:val="0"/>
          <w:sz w:val="23"/>
          <w:szCs w:val="23"/>
        </w:rPr>
        <w:t>Key words: </w:t>
      </w:r>
      <w:r w:rsidRPr="00240323">
        <w:rPr>
          <w:rFonts w:ascii="宋体" w:eastAsia="宋体" w:hAnsi="宋体" w:cs="宋体"/>
          <w:color w:val="000000"/>
          <w:kern w:val="0"/>
          <w:sz w:val="23"/>
          <w:szCs w:val="23"/>
        </w:rPr>
        <w:t>Chinese Pharmacopoeia, Drug standards, Quality control </w:t>
      </w:r>
    </w:p>
    <w:p w:rsidR="00240323" w:rsidRDefault="00240323" w:rsidP="00240323">
      <w:pPr>
        <w:widowControl/>
        <w:jc w:val="left"/>
        <w:rPr>
          <w:rFonts w:ascii="仿宋_GB2312" w:eastAsia="仿宋_GB2312" w:hAnsi="仿宋_GB2312" w:cs="仿宋_GB2312"/>
          <w:color w:val="000000"/>
          <w:kern w:val="0"/>
          <w:sz w:val="23"/>
          <w:szCs w:val="23"/>
        </w:rPr>
      </w:pPr>
    </w:p>
    <w:p w:rsidR="00240323" w:rsidRPr="00240323" w:rsidRDefault="00240323" w:rsidP="00240323">
      <w:pPr>
        <w:widowControl/>
        <w:jc w:val="left"/>
        <w:rPr>
          <w:rFonts w:ascii="宋体" w:eastAsia="宋体" w:hAnsi="宋体" w:cs="宋体"/>
          <w:kern w:val="0"/>
          <w:sz w:val="24"/>
        </w:rPr>
      </w:pPr>
      <w:r w:rsidRPr="00240323">
        <w:rPr>
          <w:rFonts w:ascii="仿宋_GB2312" w:eastAsia="仿宋_GB2312" w:hAnsi="仿宋_GB2312" w:cs="仿宋_GB2312" w:hint="eastAsia"/>
          <w:color w:val="000000"/>
          <w:kern w:val="0"/>
          <w:sz w:val="23"/>
          <w:szCs w:val="23"/>
        </w:rPr>
        <w:t>《中华人民共和国药品管理法》</w:t>
      </w:r>
      <w:r w:rsidRPr="00240323">
        <w:rPr>
          <w:rFonts w:ascii="宋体" w:eastAsia="宋体" w:hAnsi="宋体" w:cs="宋体"/>
          <w:color w:val="000000"/>
          <w:kern w:val="0"/>
          <w:sz w:val="23"/>
          <w:szCs w:val="23"/>
        </w:rPr>
        <w:t>(2019</w:t>
      </w:r>
      <w:r w:rsidRPr="00240323">
        <w:rPr>
          <w:rFonts w:ascii="仿宋_GB2312" w:eastAsia="仿宋_GB2312" w:hAnsi="仿宋_GB2312" w:cs="仿宋_GB2312" w:hint="eastAsia"/>
          <w:color w:val="000000"/>
          <w:kern w:val="0"/>
          <w:sz w:val="23"/>
          <w:szCs w:val="23"/>
        </w:rPr>
        <w:t>年修订）中规定，国务院药品监督管理部门颁布的《中华人民共和国药典》（以下简称“《中国药典》”）和药品标准为国家药品标准。国家药品标准是国家为保证药品质量，对药品的质量指标、检验方法等作出的强制性技术规定。《中国药典》是国家药品标准体系的核心，是药品生产经营者的基本遵循，是药品监督管理工作的准绳。</w:t>
      </w:r>
      <w:r w:rsidRPr="00240323">
        <w:rPr>
          <w:rFonts w:ascii="仿宋_GB2312" w:eastAsia="仿宋_GB2312" w:hAnsi="仿宋_GB2312" w:cs="仿宋_GB2312" w:hint="eastAsia"/>
          <w:color w:val="000000"/>
          <w:kern w:val="0"/>
          <w:sz w:val="23"/>
          <w:szCs w:val="23"/>
        </w:rPr>
        <w:br/>
      </w:r>
      <w:r w:rsidRPr="00240323">
        <w:rPr>
          <w:rFonts w:ascii="宋体" w:eastAsia="宋体" w:hAnsi="宋体" w:cs="宋体"/>
          <w:color w:val="000000"/>
          <w:kern w:val="0"/>
          <w:sz w:val="23"/>
          <w:szCs w:val="23"/>
        </w:rPr>
        <w:t>1953</w:t>
      </w:r>
      <w:r w:rsidRPr="00240323">
        <w:rPr>
          <w:rFonts w:ascii="仿宋_GB2312" w:eastAsia="仿宋_GB2312" w:hAnsi="仿宋_GB2312" w:cs="仿宋_GB2312" w:hint="eastAsia"/>
          <w:color w:val="000000"/>
          <w:kern w:val="0"/>
          <w:sz w:val="23"/>
          <w:szCs w:val="23"/>
        </w:rPr>
        <w:t>年，我国颁布第一版《中国药典》，新颁布的</w:t>
      </w:r>
      <w:r w:rsidRPr="00240323">
        <w:rPr>
          <w:rFonts w:ascii="宋体" w:eastAsia="宋体" w:hAnsi="宋体" w:cs="宋体"/>
          <w:color w:val="000000"/>
          <w:kern w:val="0"/>
          <w:sz w:val="23"/>
          <w:szCs w:val="23"/>
        </w:rPr>
        <w:t>2020</w:t>
      </w:r>
      <w:r w:rsidRPr="00240323">
        <w:rPr>
          <w:rFonts w:ascii="仿宋_GB2312" w:eastAsia="仿宋_GB2312" w:hAnsi="仿宋_GB2312" w:cs="仿宋_GB2312" w:hint="eastAsia"/>
          <w:color w:val="000000"/>
          <w:kern w:val="0"/>
          <w:sz w:val="23"/>
          <w:szCs w:val="23"/>
        </w:rPr>
        <w:t>年版《中国药典》（以下简称“</w:t>
      </w:r>
      <w:r w:rsidRPr="00240323">
        <w:rPr>
          <w:rFonts w:ascii="宋体" w:eastAsia="宋体" w:hAnsi="宋体" w:cs="宋体"/>
          <w:color w:val="000000"/>
          <w:kern w:val="0"/>
          <w:sz w:val="23"/>
          <w:szCs w:val="23"/>
        </w:rPr>
        <w:t>2020</w:t>
      </w:r>
      <w:r w:rsidRPr="00240323">
        <w:rPr>
          <w:rFonts w:ascii="仿宋_GB2312" w:eastAsia="仿宋_GB2312" w:hAnsi="仿宋_GB2312" w:cs="仿宋_GB2312" w:hint="eastAsia"/>
          <w:color w:val="000000"/>
          <w:kern w:val="0"/>
          <w:sz w:val="23"/>
          <w:szCs w:val="23"/>
        </w:rPr>
        <w:t>年版药典”）将于</w:t>
      </w:r>
      <w:r w:rsidRPr="00240323">
        <w:rPr>
          <w:rFonts w:ascii="宋体" w:eastAsia="宋体" w:hAnsi="宋体" w:cs="宋体"/>
          <w:color w:val="000000"/>
          <w:kern w:val="0"/>
          <w:sz w:val="23"/>
          <w:szCs w:val="23"/>
        </w:rPr>
        <w:t>2020</w:t>
      </w:r>
      <w:r w:rsidRPr="00240323">
        <w:rPr>
          <w:rFonts w:ascii="仿宋_GB2312" w:eastAsia="仿宋_GB2312" w:hAnsi="仿宋_GB2312" w:cs="仿宋_GB2312" w:hint="eastAsia"/>
          <w:color w:val="000000"/>
          <w:kern w:val="0"/>
          <w:sz w:val="23"/>
          <w:szCs w:val="23"/>
        </w:rPr>
        <w:t>年</w:t>
      </w:r>
      <w:r w:rsidRPr="00240323">
        <w:rPr>
          <w:rFonts w:ascii="宋体" w:eastAsia="宋体" w:hAnsi="宋体" w:cs="宋体"/>
          <w:color w:val="000000"/>
          <w:kern w:val="0"/>
          <w:sz w:val="23"/>
          <w:szCs w:val="23"/>
        </w:rPr>
        <w:t>12</w:t>
      </w:r>
      <w:r w:rsidRPr="00240323">
        <w:rPr>
          <w:rFonts w:ascii="仿宋_GB2312" w:eastAsia="仿宋_GB2312" w:hAnsi="仿宋_GB2312" w:cs="仿宋_GB2312" w:hint="eastAsia"/>
          <w:color w:val="000000"/>
          <w:kern w:val="0"/>
          <w:sz w:val="23"/>
          <w:szCs w:val="23"/>
        </w:rPr>
        <w:t>月</w:t>
      </w:r>
      <w:r w:rsidRPr="00240323">
        <w:rPr>
          <w:rFonts w:ascii="宋体" w:eastAsia="宋体" w:hAnsi="宋体" w:cs="宋体"/>
          <w:color w:val="000000"/>
          <w:kern w:val="0"/>
          <w:sz w:val="23"/>
          <w:szCs w:val="23"/>
        </w:rPr>
        <w:t>1</w:t>
      </w:r>
      <w:r w:rsidRPr="00240323">
        <w:rPr>
          <w:rFonts w:ascii="仿宋_GB2312" w:eastAsia="仿宋_GB2312" w:hAnsi="仿宋_GB2312" w:cs="仿宋_GB2312" w:hint="eastAsia"/>
          <w:color w:val="000000"/>
          <w:kern w:val="0"/>
          <w:sz w:val="23"/>
          <w:szCs w:val="23"/>
        </w:rPr>
        <w:t>日正式实施，是迄今颁布的第十一版药典。新版药典的颁布实施将对我国药品研发、生产、检验、流通以及监督管理</w:t>
      </w:r>
      <w:r w:rsidRPr="00240323">
        <w:rPr>
          <w:rFonts w:ascii="仿宋_GB2312" w:eastAsia="仿宋_GB2312" w:hAnsi="仿宋_GB2312" w:cs="仿宋_GB2312" w:hint="eastAsia"/>
          <w:strike/>
          <w:color w:val="000000"/>
          <w:kern w:val="0"/>
          <w:sz w:val="23"/>
          <w:szCs w:val="23"/>
        </w:rPr>
        <w:t>将</w:t>
      </w:r>
      <w:r w:rsidRPr="00240323">
        <w:rPr>
          <w:rFonts w:ascii="仿宋_GB2312" w:eastAsia="仿宋_GB2312" w:hAnsi="仿宋_GB2312" w:cs="仿宋_GB2312" w:hint="eastAsia"/>
          <w:color w:val="000000"/>
          <w:kern w:val="0"/>
          <w:sz w:val="23"/>
          <w:szCs w:val="23"/>
        </w:rPr>
        <w:t>产生重大影响。现将</w:t>
      </w:r>
      <w:r w:rsidRPr="00240323">
        <w:rPr>
          <w:rFonts w:ascii="宋体" w:eastAsia="宋体" w:hAnsi="宋体" w:cs="宋体"/>
          <w:color w:val="000000"/>
          <w:kern w:val="0"/>
          <w:sz w:val="23"/>
          <w:szCs w:val="23"/>
        </w:rPr>
        <w:t>2020</w:t>
      </w:r>
      <w:r w:rsidRPr="00240323">
        <w:rPr>
          <w:rFonts w:ascii="仿宋_GB2312" w:eastAsia="仿宋_GB2312" w:hAnsi="仿宋_GB2312" w:cs="仿宋_GB2312" w:hint="eastAsia"/>
          <w:color w:val="000000"/>
          <w:kern w:val="0"/>
          <w:sz w:val="23"/>
          <w:szCs w:val="23"/>
        </w:rPr>
        <w:t>年版药典的基本情况概述如下：</w:t>
      </w:r>
      <w:r w:rsidRPr="00240323">
        <w:rPr>
          <w:rFonts w:ascii="仿宋_GB2312" w:eastAsia="仿宋_GB2312" w:hAnsi="仿宋_GB2312" w:cs="仿宋_GB2312" w:hint="eastAsia"/>
          <w:color w:val="000000"/>
          <w:kern w:val="0"/>
          <w:sz w:val="23"/>
          <w:szCs w:val="23"/>
        </w:rPr>
        <w:br/>
      </w:r>
      <w:r w:rsidRPr="00240323">
        <w:rPr>
          <w:rFonts w:ascii="宋体" w:eastAsia="宋体" w:hAnsi="宋体" w:cs="宋体"/>
          <w:b/>
          <w:bCs/>
          <w:color w:val="000000"/>
          <w:kern w:val="0"/>
          <w:sz w:val="23"/>
          <w:szCs w:val="23"/>
        </w:rPr>
        <w:t>1</w:t>
      </w:r>
      <w:r w:rsidRPr="00240323">
        <w:rPr>
          <w:rFonts w:ascii="黑体" w:eastAsia="黑体" w:hAnsi="黑体" w:cs="宋体" w:hint="eastAsia"/>
          <w:b/>
          <w:bCs/>
          <w:color w:val="000000"/>
          <w:kern w:val="0"/>
          <w:sz w:val="23"/>
          <w:szCs w:val="23"/>
        </w:rPr>
        <w:t>新版药典的整体情况</w:t>
      </w:r>
      <w:r w:rsidRPr="00240323">
        <w:rPr>
          <w:rFonts w:ascii="黑体" w:eastAsia="黑体" w:hAnsi="黑体" w:cs="宋体" w:hint="eastAsia"/>
          <w:color w:val="000000"/>
          <w:kern w:val="0"/>
          <w:sz w:val="23"/>
          <w:szCs w:val="23"/>
        </w:rPr>
        <w:br/>
      </w:r>
      <w:r w:rsidRPr="00240323">
        <w:rPr>
          <w:rFonts w:ascii="宋体" w:eastAsia="宋体" w:hAnsi="宋体" w:cs="宋体"/>
          <w:color w:val="000000"/>
          <w:kern w:val="0"/>
          <w:sz w:val="23"/>
          <w:szCs w:val="23"/>
        </w:rPr>
        <w:t>2020</w:t>
      </w:r>
      <w:r w:rsidRPr="00240323">
        <w:rPr>
          <w:rFonts w:ascii="仿宋_GB2312" w:eastAsia="仿宋_GB2312" w:hAnsi="仿宋_GB2312" w:cs="仿宋_GB2312" w:hint="eastAsia"/>
          <w:color w:val="000000"/>
          <w:kern w:val="0"/>
          <w:sz w:val="23"/>
          <w:szCs w:val="23"/>
        </w:rPr>
        <w:t>年版药典编制工作责任重大、使命光荣。编制期间，国家药典委员会各专业委员会和常设机构不忘初心、牢记使命、开拓创新、积极进取，深入学习贯彻习近平总书记关于药品监管工作的系列重要指示批示精神，以</w:t>
      </w:r>
      <w:r w:rsidRPr="00240323">
        <w:rPr>
          <w:rFonts w:ascii="宋体" w:eastAsia="宋体" w:hAnsi="宋体" w:cs="宋体"/>
          <w:color w:val="000000"/>
          <w:kern w:val="0"/>
          <w:sz w:val="23"/>
          <w:szCs w:val="23"/>
        </w:rPr>
        <w:t>“</w:t>
      </w:r>
      <w:r w:rsidRPr="00240323">
        <w:rPr>
          <w:rFonts w:ascii="仿宋_GB2312" w:eastAsia="仿宋_GB2312" w:hAnsi="仿宋_GB2312" w:cs="仿宋_GB2312" w:hint="eastAsia"/>
          <w:color w:val="000000"/>
          <w:kern w:val="0"/>
          <w:sz w:val="23"/>
          <w:szCs w:val="23"/>
        </w:rPr>
        <w:t>四个最严</w:t>
      </w:r>
      <w:r w:rsidRPr="00240323">
        <w:rPr>
          <w:rFonts w:ascii="宋体" w:eastAsia="宋体" w:hAnsi="宋体" w:cs="宋体"/>
          <w:color w:val="000000"/>
          <w:kern w:val="0"/>
          <w:sz w:val="23"/>
          <w:szCs w:val="23"/>
        </w:rPr>
        <w:t>”</w:t>
      </w:r>
      <w:r w:rsidRPr="00240323">
        <w:rPr>
          <w:rFonts w:ascii="仿宋_GB2312" w:eastAsia="仿宋_GB2312" w:hAnsi="仿宋_GB2312" w:cs="仿宋_GB2312" w:hint="eastAsia"/>
          <w:color w:val="000000"/>
          <w:kern w:val="0"/>
          <w:sz w:val="23"/>
          <w:szCs w:val="23"/>
        </w:rPr>
        <w:t>的要求为指</w:t>
      </w:r>
      <w:r w:rsidRPr="00240323">
        <w:rPr>
          <w:rFonts w:ascii="仿宋_GB2312" w:eastAsia="仿宋_GB2312" w:hAnsi="仿宋_GB2312" w:cs="仿宋_GB2312" w:hint="eastAsia"/>
          <w:color w:val="000000"/>
          <w:kern w:val="0"/>
          <w:sz w:val="23"/>
          <w:szCs w:val="23"/>
        </w:rPr>
        <w:lastRenderedPageBreak/>
        <w:t>导，坚持以人民为中心的发展理念，贯彻落实新修订的《药品管理法》和《疫苗管理法》的有关规定，扎实推进新版药典编制各项工作，切实保障制定和修订的药品标准科学、严谨、管用和有效。</w:t>
      </w:r>
      <w:r w:rsidRPr="00240323">
        <w:rPr>
          <w:rFonts w:ascii="仿宋_GB2312" w:eastAsia="仿宋_GB2312" w:hAnsi="仿宋_GB2312" w:cs="仿宋_GB2312" w:hint="eastAsia"/>
          <w:color w:val="000000"/>
          <w:kern w:val="0"/>
          <w:sz w:val="23"/>
          <w:szCs w:val="23"/>
        </w:rPr>
        <w:br/>
      </w:r>
      <w:r w:rsidRPr="00240323">
        <w:rPr>
          <w:rFonts w:ascii="宋体" w:eastAsia="宋体" w:hAnsi="宋体" w:cs="宋体"/>
          <w:color w:val="000000"/>
          <w:kern w:val="0"/>
          <w:sz w:val="23"/>
          <w:szCs w:val="23"/>
        </w:rPr>
        <w:t>2020</w:t>
      </w:r>
      <w:r w:rsidRPr="00240323">
        <w:rPr>
          <w:rFonts w:ascii="仿宋_GB2312" w:eastAsia="仿宋_GB2312" w:hAnsi="仿宋_GB2312" w:cs="仿宋_GB2312" w:hint="eastAsia"/>
          <w:color w:val="000000"/>
          <w:kern w:val="0"/>
          <w:sz w:val="23"/>
          <w:szCs w:val="23"/>
        </w:rPr>
        <w:t>年版药典编制工作基本达到了编制大纲设立的各项既定目标。一是收载品种适度增加，总数达到</w:t>
      </w:r>
      <w:r w:rsidRPr="00240323">
        <w:rPr>
          <w:rFonts w:ascii="宋体" w:eastAsia="宋体" w:hAnsi="宋体" w:cs="宋体"/>
          <w:color w:val="000000"/>
          <w:kern w:val="0"/>
          <w:sz w:val="23"/>
          <w:szCs w:val="23"/>
        </w:rPr>
        <w:t>5911</w:t>
      </w:r>
      <w:r w:rsidRPr="00240323">
        <w:rPr>
          <w:rFonts w:ascii="仿宋_GB2312" w:eastAsia="仿宋_GB2312" w:hAnsi="仿宋_GB2312" w:cs="仿宋_GB2312" w:hint="eastAsia"/>
          <w:color w:val="000000"/>
          <w:kern w:val="0"/>
          <w:sz w:val="23"/>
          <w:szCs w:val="23"/>
        </w:rPr>
        <w:t>种，进一步稳步提高药典收载品种数量。二是基本完成国家药品标准清理工作，其中涉及化学药</w:t>
      </w:r>
      <w:r w:rsidRPr="00240323">
        <w:rPr>
          <w:rFonts w:ascii="宋体" w:eastAsia="宋体" w:hAnsi="宋体" w:cs="宋体"/>
          <w:color w:val="000000"/>
          <w:kern w:val="0"/>
          <w:sz w:val="23"/>
          <w:szCs w:val="23"/>
        </w:rPr>
        <w:t>6263</w:t>
      </w:r>
      <w:r w:rsidRPr="00240323">
        <w:rPr>
          <w:rFonts w:ascii="仿宋_GB2312" w:eastAsia="仿宋_GB2312" w:hAnsi="仿宋_GB2312" w:cs="仿宋_GB2312" w:hint="eastAsia"/>
          <w:color w:val="000000"/>
          <w:kern w:val="0"/>
          <w:sz w:val="23"/>
          <w:szCs w:val="23"/>
        </w:rPr>
        <w:t>个品种、中成药</w:t>
      </w:r>
      <w:r w:rsidRPr="00240323">
        <w:rPr>
          <w:rFonts w:ascii="宋体" w:eastAsia="宋体" w:hAnsi="宋体" w:cs="宋体"/>
          <w:color w:val="000000"/>
          <w:kern w:val="0"/>
          <w:sz w:val="23"/>
          <w:szCs w:val="23"/>
        </w:rPr>
        <w:t>9585</w:t>
      </w:r>
      <w:r w:rsidRPr="00240323">
        <w:rPr>
          <w:rFonts w:ascii="仿宋_GB2312" w:eastAsia="仿宋_GB2312" w:hAnsi="仿宋_GB2312" w:cs="仿宋_GB2312" w:hint="eastAsia"/>
          <w:color w:val="000000"/>
          <w:kern w:val="0"/>
          <w:sz w:val="23"/>
          <w:szCs w:val="23"/>
        </w:rPr>
        <w:t>个品种、饮片药材</w:t>
      </w:r>
      <w:r w:rsidRPr="00240323">
        <w:rPr>
          <w:rFonts w:ascii="宋体" w:eastAsia="宋体" w:hAnsi="宋体" w:cs="宋体"/>
          <w:color w:val="000000"/>
          <w:kern w:val="0"/>
          <w:sz w:val="23"/>
          <w:szCs w:val="23"/>
        </w:rPr>
        <w:t>1252</w:t>
      </w:r>
      <w:r w:rsidRPr="00240323">
        <w:rPr>
          <w:rFonts w:ascii="仿宋_GB2312" w:eastAsia="仿宋_GB2312" w:hAnsi="仿宋_GB2312" w:cs="仿宋_GB2312" w:hint="eastAsia"/>
          <w:color w:val="000000"/>
          <w:kern w:val="0"/>
          <w:sz w:val="23"/>
          <w:szCs w:val="23"/>
        </w:rPr>
        <w:t>个品种、中药提取物</w:t>
      </w:r>
      <w:r w:rsidRPr="00240323">
        <w:rPr>
          <w:rFonts w:ascii="宋体" w:eastAsia="宋体" w:hAnsi="宋体" w:cs="宋体"/>
          <w:color w:val="000000"/>
          <w:kern w:val="0"/>
          <w:sz w:val="23"/>
          <w:szCs w:val="23"/>
        </w:rPr>
        <w:t>9</w:t>
      </w:r>
      <w:r w:rsidRPr="00240323">
        <w:rPr>
          <w:rFonts w:ascii="仿宋_GB2312" w:eastAsia="仿宋_GB2312" w:hAnsi="仿宋_GB2312" w:cs="仿宋_GB2312" w:hint="eastAsia"/>
          <w:color w:val="000000"/>
          <w:kern w:val="0"/>
          <w:sz w:val="23"/>
          <w:szCs w:val="23"/>
        </w:rPr>
        <w:t>个品种、生物制品</w:t>
      </w:r>
      <w:r w:rsidRPr="00240323">
        <w:rPr>
          <w:rFonts w:ascii="宋体" w:eastAsia="宋体" w:hAnsi="宋体" w:cs="宋体"/>
          <w:color w:val="000000"/>
          <w:kern w:val="0"/>
          <w:sz w:val="23"/>
          <w:szCs w:val="23"/>
        </w:rPr>
        <w:t>373</w:t>
      </w:r>
      <w:r w:rsidRPr="00240323">
        <w:rPr>
          <w:rFonts w:ascii="仿宋_GB2312" w:eastAsia="仿宋_GB2312" w:hAnsi="仿宋_GB2312" w:cs="仿宋_GB2312" w:hint="eastAsia"/>
          <w:color w:val="000000"/>
          <w:kern w:val="0"/>
          <w:sz w:val="23"/>
          <w:szCs w:val="23"/>
        </w:rPr>
        <w:t>个品种，为完善标准提高和淘汰机制奠定了基础。三是以实施</w:t>
      </w:r>
      <w:r w:rsidRPr="00240323">
        <w:rPr>
          <w:rFonts w:ascii="宋体" w:eastAsia="宋体" w:hAnsi="宋体" w:cs="宋体"/>
          <w:color w:val="000000"/>
          <w:kern w:val="0"/>
          <w:sz w:val="23"/>
          <w:szCs w:val="23"/>
        </w:rPr>
        <w:t>“</w:t>
      </w:r>
      <w:r w:rsidRPr="00240323">
        <w:rPr>
          <w:rFonts w:ascii="仿宋_GB2312" w:eastAsia="仿宋_GB2312" w:hAnsi="仿宋_GB2312" w:cs="仿宋_GB2312" w:hint="eastAsia"/>
          <w:color w:val="000000"/>
          <w:kern w:val="0"/>
          <w:sz w:val="23"/>
          <w:szCs w:val="23"/>
        </w:rPr>
        <w:t>两法两条例</w:t>
      </w:r>
      <w:r w:rsidRPr="00240323">
        <w:rPr>
          <w:rFonts w:ascii="宋体" w:eastAsia="宋体" w:hAnsi="宋体" w:cs="宋体"/>
          <w:color w:val="000000"/>
          <w:kern w:val="0"/>
          <w:sz w:val="23"/>
          <w:szCs w:val="23"/>
        </w:rPr>
        <w:t>”</w:t>
      </w:r>
      <w:r w:rsidRPr="00240323">
        <w:rPr>
          <w:rFonts w:ascii="仿宋_GB2312" w:eastAsia="仿宋_GB2312" w:hAnsi="仿宋_GB2312" w:cs="仿宋_GB2312" w:hint="eastAsia"/>
          <w:color w:val="000000"/>
          <w:kern w:val="0"/>
          <w:sz w:val="23"/>
          <w:szCs w:val="23"/>
        </w:rPr>
        <w:t>为契机，全面完善了药典标准体系，贯彻药品质量全程管理的理念，提高了横向覆盖中药、化学药、生物制品、原料药、药用辅料、药包材以及标准物质的质量控制技术要求，完善了纵向涵盖药典凡例、制剂通则、检验方法以及指导原则的制修订，加强了涉及药品研发、生产、质控、流通和使用等环节的通用技术要求体系的建设。四是强化了《中国药典》的规范性，药典各部之间更加协调统一。建立、完善了统一规范的药品、药用辅料和药包材通用名称命名原则，加强了通用技术要求与品种标准内容的统一。五是加强药典通用技术要求，重点完善了药品安全性和有效性的控制要求，实现了“中药标准继续主导国际标准制定，化学药、药用辅料标准基本达到或接近国际标准水平，生物制品标准紧跟科技发展前沿，与国际先进水平基本保持一致”的总目标。六是加强了药典机构间的国际交流与合作，促进了与药典的协调统一，扩大了《中国药典》的国际影响力。</w:t>
      </w:r>
      <w:r w:rsidRPr="00240323">
        <w:rPr>
          <w:rFonts w:ascii="仿宋_GB2312" w:eastAsia="仿宋_GB2312" w:hAnsi="仿宋_GB2312" w:cs="仿宋_GB2312" w:hint="eastAsia"/>
          <w:color w:val="000000"/>
          <w:kern w:val="0"/>
          <w:sz w:val="23"/>
          <w:szCs w:val="23"/>
        </w:rPr>
        <w:br/>
        <w:t>新版药典新增319种，修订3177种，不再收载10种，品种调整合并4种，共收载品种5911种。一部中药收载2711种，其中新增117种、修订452种。二部化学药收载2712种，其中新增117种、修订2387种。三部生物制品收载153种，其中新增20种、修订126种；新增生物制品通则2个、总论4个。四部收载通用技术要求361个，其中制剂通则38个（修订35个）、检测方法及其他通则281个（新增35个、修订51个）、指导原则42个（新增12个、修订12个）；药用辅料收载335种，其中新增65种、修订212种（见表1）。</w:t>
      </w:r>
      <w:r w:rsidRPr="00240323">
        <w:rPr>
          <w:rFonts w:ascii="仿宋_GB2312" w:eastAsia="仿宋_GB2312" w:hAnsi="仿宋_GB2312" w:cs="仿宋_GB2312" w:hint="eastAsia"/>
          <w:color w:val="000000"/>
          <w:kern w:val="0"/>
          <w:sz w:val="23"/>
          <w:szCs w:val="23"/>
        </w:rPr>
        <w:br/>
      </w:r>
      <w:r w:rsidRPr="00240323">
        <w:rPr>
          <w:rFonts w:ascii="楷体_GB2312" w:eastAsia="楷体_GB2312" w:hAnsi="楷体_GB2312" w:cs="楷体_GB2312" w:hint="eastAsia"/>
          <w:b/>
          <w:bCs/>
          <w:color w:val="0080FF"/>
          <w:kern w:val="0"/>
          <w:sz w:val="23"/>
          <w:szCs w:val="23"/>
        </w:rPr>
        <w:t>表</w:t>
      </w:r>
      <w:r w:rsidRPr="00240323">
        <w:rPr>
          <w:rFonts w:ascii="仿宋_GB2312" w:eastAsia="仿宋_GB2312" w:hAnsi="仿宋_GB2312" w:cs="仿宋_GB2312" w:hint="eastAsia"/>
          <w:b/>
          <w:bCs/>
          <w:color w:val="0080FF"/>
          <w:kern w:val="0"/>
          <w:sz w:val="23"/>
          <w:szCs w:val="23"/>
        </w:rPr>
        <w:t>1  </w:t>
      </w:r>
      <w:r w:rsidRPr="00240323">
        <w:rPr>
          <w:rFonts w:ascii="楷体_GB2312" w:eastAsia="楷体_GB2312" w:hAnsi="楷体_GB2312" w:cs="楷体_GB2312" w:hint="eastAsia"/>
          <w:b/>
          <w:bCs/>
          <w:color w:val="0080FF"/>
          <w:kern w:val="0"/>
          <w:sz w:val="23"/>
          <w:szCs w:val="23"/>
        </w:rPr>
        <w:t>中国药典</w:t>
      </w:r>
      <w:r w:rsidRPr="00240323">
        <w:rPr>
          <w:rFonts w:ascii="仿宋_GB2312" w:eastAsia="仿宋_GB2312" w:hAnsi="仿宋_GB2312" w:cs="仿宋_GB2312" w:hint="eastAsia"/>
          <w:b/>
          <w:bCs/>
          <w:color w:val="0080FF"/>
          <w:kern w:val="0"/>
          <w:sz w:val="23"/>
          <w:szCs w:val="23"/>
        </w:rPr>
        <w:t>2015</w:t>
      </w:r>
      <w:r w:rsidRPr="00240323">
        <w:rPr>
          <w:rFonts w:ascii="楷体_GB2312" w:eastAsia="楷体_GB2312" w:hAnsi="楷体_GB2312" w:cs="楷体_GB2312" w:hint="eastAsia"/>
          <w:b/>
          <w:bCs/>
          <w:color w:val="0080FF"/>
          <w:kern w:val="0"/>
          <w:sz w:val="23"/>
          <w:szCs w:val="23"/>
        </w:rPr>
        <w:t>年版与</w:t>
      </w:r>
      <w:r w:rsidRPr="00240323">
        <w:rPr>
          <w:rFonts w:ascii="仿宋_GB2312" w:eastAsia="仿宋_GB2312" w:hAnsi="仿宋_GB2312" w:cs="仿宋_GB2312" w:hint="eastAsia"/>
          <w:b/>
          <w:bCs/>
          <w:color w:val="0080FF"/>
          <w:kern w:val="0"/>
          <w:sz w:val="23"/>
          <w:szCs w:val="23"/>
        </w:rPr>
        <w:t>2020</w:t>
      </w:r>
      <w:r w:rsidRPr="00240323">
        <w:rPr>
          <w:rFonts w:ascii="楷体_GB2312" w:eastAsia="楷体_GB2312" w:hAnsi="楷体_GB2312" w:cs="楷体_GB2312" w:hint="eastAsia"/>
          <w:b/>
          <w:bCs/>
          <w:color w:val="0080FF"/>
          <w:kern w:val="0"/>
          <w:sz w:val="23"/>
          <w:szCs w:val="23"/>
        </w:rPr>
        <w:t>年版收载情况比较</w:t>
      </w:r>
    </w:p>
    <w:tbl>
      <w:tblPr>
        <w:tblW w:w="10155" w:type="dxa"/>
        <w:shd w:val="clear" w:color="auto" w:fill="FFFFFF"/>
        <w:tblCellMar>
          <w:left w:w="0" w:type="dxa"/>
          <w:right w:w="0" w:type="dxa"/>
        </w:tblCellMar>
        <w:tblLook w:val="04A0" w:firstRow="1" w:lastRow="0" w:firstColumn="1" w:lastColumn="0" w:noHBand="0" w:noVBand="1"/>
      </w:tblPr>
      <w:tblGrid>
        <w:gridCol w:w="947"/>
        <w:gridCol w:w="2031"/>
        <w:gridCol w:w="3331"/>
        <w:gridCol w:w="1273"/>
        <w:gridCol w:w="1273"/>
        <w:gridCol w:w="1300"/>
      </w:tblGrid>
      <w:tr w:rsidR="00240323" w:rsidRPr="00240323" w:rsidTr="00240323">
        <w:trPr>
          <w:trHeight w:val="940"/>
        </w:trPr>
        <w:tc>
          <w:tcPr>
            <w:tcW w:w="16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微软雅黑" w:eastAsia="微软雅黑" w:hAnsi="微软雅黑" w:cs="宋体" w:hint="eastAsia"/>
                <w:color w:val="000000"/>
                <w:spacing w:val="8"/>
                <w:kern w:val="0"/>
                <w:sz w:val="20"/>
                <w:szCs w:val="20"/>
              </w:rPr>
              <w:t> </w:t>
            </w:r>
            <w:r w:rsidRPr="00240323">
              <w:rPr>
                <w:rFonts w:ascii="宋体" w:eastAsia="宋体" w:hAnsi="宋体" w:cs="宋体" w:hint="eastAsia"/>
                <w:color w:val="000000"/>
                <w:spacing w:val="8"/>
                <w:kern w:val="0"/>
                <w:sz w:val="20"/>
                <w:szCs w:val="20"/>
              </w:rPr>
              <w:t>类别</w:t>
            </w:r>
          </w:p>
        </w:tc>
        <w:tc>
          <w:tcPr>
            <w:tcW w:w="1845" w:type="dxa"/>
            <w:vMerge w:val="restart"/>
            <w:tcBorders>
              <w:top w:val="single" w:sz="6" w:space="0" w:color="000000"/>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微软雅黑" w:eastAsia="微软雅黑" w:hAnsi="微软雅黑" w:cs="宋体" w:hint="eastAsia"/>
                <w:color w:val="000000"/>
                <w:spacing w:val="8"/>
                <w:kern w:val="0"/>
                <w:sz w:val="20"/>
                <w:szCs w:val="20"/>
              </w:rPr>
              <w:t>2015</w:t>
            </w:r>
            <w:r w:rsidRPr="00240323">
              <w:rPr>
                <w:rFonts w:ascii="宋体" w:eastAsia="宋体" w:hAnsi="宋体" w:cs="宋体" w:hint="eastAsia"/>
                <w:color w:val="000000"/>
                <w:spacing w:val="8"/>
                <w:kern w:val="0"/>
                <w:sz w:val="20"/>
                <w:szCs w:val="20"/>
              </w:rPr>
              <w:t>版药典品种数</w:t>
            </w:r>
            <w:r w:rsidRPr="00240323">
              <w:rPr>
                <w:rFonts w:ascii="微软雅黑" w:eastAsia="微软雅黑" w:hAnsi="微软雅黑" w:cs="宋体" w:hint="eastAsia"/>
                <w:color w:val="000000"/>
                <w:spacing w:val="8"/>
                <w:kern w:val="0"/>
                <w:sz w:val="20"/>
                <w:szCs w:val="20"/>
              </w:rPr>
              <w:t> </w:t>
            </w:r>
          </w:p>
        </w:tc>
        <w:tc>
          <w:tcPr>
            <w:tcW w:w="2130" w:type="dxa"/>
            <w:gridSpan w:val="3"/>
            <w:tcBorders>
              <w:top w:val="single" w:sz="6" w:space="0" w:color="000000"/>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微软雅黑" w:eastAsia="微软雅黑" w:hAnsi="微软雅黑" w:cs="宋体" w:hint="eastAsia"/>
                <w:color w:val="000000"/>
                <w:spacing w:val="8"/>
                <w:kern w:val="0"/>
                <w:sz w:val="20"/>
                <w:szCs w:val="20"/>
              </w:rPr>
              <w:t>2020</w:t>
            </w:r>
            <w:r w:rsidRPr="00240323">
              <w:rPr>
                <w:rFonts w:ascii="宋体" w:eastAsia="宋体" w:hAnsi="宋体" w:cs="宋体" w:hint="eastAsia"/>
                <w:color w:val="000000"/>
                <w:spacing w:val="8"/>
                <w:kern w:val="0"/>
                <w:sz w:val="20"/>
                <w:szCs w:val="20"/>
              </w:rPr>
              <w:t>年版药典品种数</w:t>
            </w:r>
          </w:p>
        </w:tc>
      </w:tr>
      <w:tr w:rsidR="00240323" w:rsidRPr="00240323" w:rsidTr="00240323">
        <w:trPr>
          <w:trHeight w:val="1900"/>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323" w:rsidRPr="00240323" w:rsidRDefault="00240323" w:rsidP="00240323">
            <w:pPr>
              <w:widowControl/>
              <w:rPr>
                <w:rFonts w:ascii="Helvetica Neue" w:eastAsia="宋体" w:hAnsi="Helvetica Neue" w:cs="宋体"/>
                <w:color w:val="333333"/>
                <w:spacing w:val="8"/>
                <w:kern w:val="0"/>
                <w:sz w:val="26"/>
                <w:szCs w:val="26"/>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240323" w:rsidRPr="00240323" w:rsidRDefault="00240323" w:rsidP="00240323">
            <w:pPr>
              <w:widowControl/>
              <w:rPr>
                <w:rFonts w:ascii="Helvetica Neue" w:eastAsia="宋体" w:hAnsi="Helvetica Neue" w:cs="宋体"/>
                <w:color w:val="333333"/>
                <w:spacing w:val="8"/>
                <w:kern w:val="0"/>
                <w:sz w:val="26"/>
                <w:szCs w:val="26"/>
              </w:rPr>
            </w:pP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宋体" w:eastAsia="宋体" w:hAnsi="宋体" w:cs="宋体" w:hint="eastAsia"/>
                <w:color w:val="000000"/>
                <w:spacing w:val="8"/>
                <w:kern w:val="0"/>
                <w:sz w:val="20"/>
                <w:szCs w:val="20"/>
              </w:rPr>
              <w:t>收载</w:t>
            </w:r>
            <w:r w:rsidRPr="00240323">
              <w:rPr>
                <w:rFonts w:ascii="微软雅黑" w:eastAsia="微软雅黑" w:hAnsi="微软雅黑" w:cs="宋体" w:hint="eastAsia"/>
                <w:color w:val="000000"/>
                <w:spacing w:val="8"/>
                <w:kern w:val="0"/>
                <w:sz w:val="20"/>
                <w:szCs w:val="20"/>
              </w:rPr>
              <w:t> </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宋体" w:eastAsia="宋体" w:hAnsi="宋体" w:cs="宋体" w:hint="eastAsia"/>
                <w:color w:val="000000"/>
                <w:spacing w:val="8"/>
                <w:kern w:val="0"/>
                <w:sz w:val="20"/>
                <w:szCs w:val="20"/>
              </w:rPr>
              <w:t>新增</w:t>
            </w:r>
            <w:r w:rsidRPr="00240323">
              <w:rPr>
                <w:rFonts w:ascii="微软雅黑" w:eastAsia="微软雅黑" w:hAnsi="微软雅黑" w:cs="宋体" w:hint="eastAsia"/>
                <w:color w:val="000000"/>
                <w:spacing w:val="8"/>
                <w:kern w:val="0"/>
                <w:sz w:val="20"/>
                <w:szCs w:val="20"/>
              </w:rPr>
              <w:t> </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宋体" w:eastAsia="宋体" w:hAnsi="宋体" w:cs="宋体" w:hint="eastAsia"/>
                <w:color w:val="000000"/>
                <w:spacing w:val="8"/>
                <w:kern w:val="0"/>
                <w:sz w:val="20"/>
                <w:szCs w:val="20"/>
              </w:rPr>
              <w:t>修订</w:t>
            </w:r>
            <w:r w:rsidRPr="00240323">
              <w:rPr>
                <w:rFonts w:ascii="微软雅黑" w:eastAsia="微软雅黑" w:hAnsi="微软雅黑" w:cs="宋体" w:hint="eastAsia"/>
                <w:color w:val="000000"/>
                <w:spacing w:val="8"/>
                <w:kern w:val="0"/>
                <w:sz w:val="20"/>
                <w:szCs w:val="20"/>
              </w:rPr>
              <w:t> </w:t>
            </w:r>
          </w:p>
        </w:tc>
      </w:tr>
      <w:tr w:rsidR="00240323" w:rsidRPr="00240323" w:rsidTr="00240323">
        <w:trPr>
          <w:trHeight w:val="940"/>
        </w:trPr>
        <w:tc>
          <w:tcPr>
            <w:tcW w:w="1650" w:type="dxa"/>
            <w:gridSpan w:val="2"/>
            <w:tcBorders>
              <w:top w:val="nil"/>
              <w:left w:val="single" w:sz="6" w:space="0" w:color="000000"/>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中药</w:t>
            </w:r>
          </w:p>
        </w:tc>
        <w:tc>
          <w:tcPr>
            <w:tcW w:w="184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2598</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2711</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117</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452</w:t>
            </w:r>
          </w:p>
        </w:tc>
      </w:tr>
      <w:tr w:rsidR="00240323" w:rsidRPr="00240323" w:rsidTr="00240323">
        <w:trPr>
          <w:trHeight w:val="940"/>
        </w:trPr>
        <w:tc>
          <w:tcPr>
            <w:tcW w:w="1650" w:type="dxa"/>
            <w:gridSpan w:val="2"/>
            <w:tcBorders>
              <w:top w:val="nil"/>
              <w:left w:val="single" w:sz="6" w:space="0" w:color="000000"/>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化药</w:t>
            </w:r>
          </w:p>
        </w:tc>
        <w:tc>
          <w:tcPr>
            <w:tcW w:w="184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2603</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2712</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117</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2387</w:t>
            </w:r>
          </w:p>
        </w:tc>
      </w:tr>
      <w:tr w:rsidR="00240323" w:rsidRPr="00240323" w:rsidTr="00240323">
        <w:trPr>
          <w:trHeight w:val="940"/>
        </w:trPr>
        <w:tc>
          <w:tcPr>
            <w:tcW w:w="1650" w:type="dxa"/>
            <w:gridSpan w:val="2"/>
            <w:tcBorders>
              <w:top w:val="nil"/>
              <w:left w:val="single" w:sz="6" w:space="0" w:color="000000"/>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lastRenderedPageBreak/>
              <w:t>药用辅料</w:t>
            </w:r>
          </w:p>
        </w:tc>
        <w:tc>
          <w:tcPr>
            <w:tcW w:w="184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270</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335</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65</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212</w:t>
            </w:r>
          </w:p>
        </w:tc>
      </w:tr>
      <w:tr w:rsidR="00240323" w:rsidRPr="00240323" w:rsidTr="00240323">
        <w:trPr>
          <w:trHeight w:val="940"/>
        </w:trPr>
        <w:tc>
          <w:tcPr>
            <w:tcW w:w="1650" w:type="dxa"/>
            <w:gridSpan w:val="2"/>
            <w:tcBorders>
              <w:top w:val="nil"/>
              <w:left w:val="single" w:sz="6" w:space="0" w:color="000000"/>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生物制品</w:t>
            </w:r>
          </w:p>
        </w:tc>
        <w:tc>
          <w:tcPr>
            <w:tcW w:w="184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137</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153</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20</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126</w:t>
            </w:r>
          </w:p>
        </w:tc>
      </w:tr>
      <w:tr w:rsidR="00240323" w:rsidRPr="00240323" w:rsidTr="00240323">
        <w:trPr>
          <w:trHeight w:val="940"/>
        </w:trPr>
        <w:tc>
          <w:tcPr>
            <w:tcW w:w="1650" w:type="dxa"/>
            <w:gridSpan w:val="2"/>
            <w:tcBorders>
              <w:top w:val="nil"/>
              <w:left w:val="single" w:sz="6" w:space="0" w:color="000000"/>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品种合计</w:t>
            </w:r>
          </w:p>
        </w:tc>
        <w:tc>
          <w:tcPr>
            <w:tcW w:w="184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4567</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5608</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1082</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1134</w:t>
            </w:r>
          </w:p>
        </w:tc>
      </w:tr>
      <w:tr w:rsidR="00240323" w:rsidRPr="00240323" w:rsidTr="00240323">
        <w:trPr>
          <w:trHeight w:val="940"/>
        </w:trPr>
        <w:tc>
          <w:tcPr>
            <w:tcW w:w="525" w:type="dxa"/>
            <w:vMerge w:val="restart"/>
            <w:tcBorders>
              <w:top w:val="nil"/>
              <w:left w:val="single" w:sz="6" w:space="0" w:color="000000"/>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通则</w:t>
            </w:r>
            <w:r w:rsidRPr="00240323">
              <w:rPr>
                <w:rFonts w:ascii="微软雅黑" w:eastAsia="微软雅黑" w:hAnsi="微软雅黑" w:cs="宋体" w:hint="eastAsia"/>
                <w:color w:val="000000"/>
                <w:spacing w:val="8"/>
                <w:kern w:val="0"/>
                <w:sz w:val="20"/>
                <w:szCs w:val="20"/>
              </w:rPr>
              <w:t> </w:t>
            </w:r>
          </w:p>
        </w:tc>
        <w:tc>
          <w:tcPr>
            <w:tcW w:w="750"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制剂通则</w:t>
            </w:r>
          </w:p>
        </w:tc>
        <w:tc>
          <w:tcPr>
            <w:tcW w:w="184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38</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38</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35</w:t>
            </w:r>
          </w:p>
        </w:tc>
      </w:tr>
      <w:tr w:rsidR="00240323" w:rsidRPr="00240323" w:rsidTr="00240323">
        <w:trPr>
          <w:trHeight w:val="94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40323" w:rsidRPr="00240323" w:rsidRDefault="00240323" w:rsidP="00240323">
            <w:pPr>
              <w:widowControl/>
              <w:rPr>
                <w:rFonts w:ascii="Helvetica Neue" w:eastAsia="宋体" w:hAnsi="Helvetica Neue" w:cs="宋体"/>
                <w:color w:val="333333"/>
                <w:spacing w:val="8"/>
                <w:kern w:val="0"/>
                <w:sz w:val="26"/>
                <w:szCs w:val="26"/>
              </w:rPr>
            </w:pPr>
          </w:p>
        </w:tc>
        <w:tc>
          <w:tcPr>
            <w:tcW w:w="750"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检验方法及其他</w:t>
            </w:r>
          </w:p>
        </w:tc>
        <w:tc>
          <w:tcPr>
            <w:tcW w:w="184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246</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281</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35</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51</w:t>
            </w:r>
          </w:p>
        </w:tc>
      </w:tr>
      <w:tr w:rsidR="00240323" w:rsidRPr="00240323" w:rsidTr="00240323">
        <w:trPr>
          <w:trHeight w:val="94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240323" w:rsidRPr="00240323" w:rsidRDefault="00240323" w:rsidP="00240323">
            <w:pPr>
              <w:widowControl/>
              <w:rPr>
                <w:rFonts w:ascii="Helvetica Neue" w:eastAsia="宋体" w:hAnsi="Helvetica Neue" w:cs="宋体"/>
                <w:color w:val="333333"/>
                <w:spacing w:val="8"/>
                <w:kern w:val="0"/>
                <w:sz w:val="26"/>
                <w:szCs w:val="26"/>
              </w:rPr>
            </w:pPr>
          </w:p>
        </w:tc>
        <w:tc>
          <w:tcPr>
            <w:tcW w:w="750"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指导原则</w:t>
            </w:r>
          </w:p>
        </w:tc>
        <w:tc>
          <w:tcPr>
            <w:tcW w:w="184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30</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42</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12</w:t>
            </w:r>
          </w:p>
        </w:tc>
        <w:tc>
          <w:tcPr>
            <w:tcW w:w="705" w:type="dxa"/>
            <w:tcBorders>
              <w:top w:val="nil"/>
              <w:left w:val="nil"/>
              <w:bottom w:val="single" w:sz="6" w:space="0" w:color="000000"/>
              <w:right w:val="single" w:sz="6" w:space="0" w:color="000000"/>
            </w:tcBorders>
            <w:shd w:val="clear" w:color="auto" w:fill="FFFFFF"/>
            <w:tcMar>
              <w:top w:w="11" w:type="dxa"/>
              <w:left w:w="90" w:type="dxa"/>
              <w:bottom w:w="0" w:type="dxa"/>
              <w:right w:w="90" w:type="dxa"/>
            </w:tcMar>
            <w:vAlign w:val="center"/>
            <w:hideMark/>
          </w:tcPr>
          <w:p w:rsidR="00240323" w:rsidRPr="00240323" w:rsidRDefault="00240323" w:rsidP="00240323">
            <w:pPr>
              <w:widowControl/>
              <w:wordWrap w:val="0"/>
              <w:rPr>
                <w:rFonts w:ascii="Helvetica Neue" w:eastAsia="宋体" w:hAnsi="Helvetica Neue" w:cs="宋体"/>
                <w:color w:val="333333"/>
                <w:spacing w:val="8"/>
                <w:kern w:val="0"/>
                <w:sz w:val="26"/>
                <w:szCs w:val="26"/>
              </w:rPr>
            </w:pPr>
            <w:r w:rsidRPr="00240323">
              <w:rPr>
                <w:rFonts w:ascii="仿宋_GB2312" w:eastAsia="仿宋_GB2312" w:hAnsi="仿宋_GB2312" w:cs="仿宋_GB2312" w:hint="eastAsia"/>
                <w:color w:val="000000"/>
                <w:spacing w:val="8"/>
                <w:kern w:val="0"/>
                <w:sz w:val="20"/>
                <w:szCs w:val="20"/>
              </w:rPr>
              <w:t>12</w:t>
            </w:r>
          </w:p>
        </w:tc>
      </w:tr>
    </w:tbl>
    <w:p w:rsidR="00240323" w:rsidRPr="00240323" w:rsidRDefault="00240323" w:rsidP="00240323">
      <w:pPr>
        <w:widowControl/>
        <w:shd w:val="clear" w:color="auto" w:fill="FFFFFF"/>
        <w:spacing w:line="383" w:lineRule="atLeast"/>
        <w:ind w:firstLine="480"/>
        <w:rPr>
          <w:rFonts w:ascii="Helvetica Neue" w:eastAsia="宋体" w:hAnsi="Helvetica Neue" w:cs="宋体"/>
          <w:color w:val="333333"/>
          <w:spacing w:val="8"/>
          <w:kern w:val="0"/>
          <w:sz w:val="26"/>
          <w:szCs w:val="26"/>
        </w:rPr>
      </w:pPr>
    </w:p>
    <w:p w:rsidR="00240323" w:rsidRPr="00240323" w:rsidRDefault="00240323" w:rsidP="00240323">
      <w:pPr>
        <w:widowControl/>
        <w:jc w:val="left"/>
        <w:rPr>
          <w:rFonts w:ascii="宋体" w:eastAsia="宋体" w:hAnsi="宋体" w:cs="宋体"/>
          <w:kern w:val="0"/>
          <w:sz w:val="24"/>
        </w:rPr>
      </w:pPr>
      <w:r w:rsidRPr="00240323">
        <w:rPr>
          <w:rFonts w:ascii="宋体" w:eastAsia="宋体" w:hAnsi="宋体" w:cs="宋体"/>
          <w:b/>
          <w:bCs/>
          <w:color w:val="000000"/>
          <w:spacing w:val="8"/>
          <w:kern w:val="0"/>
          <w:sz w:val="23"/>
          <w:szCs w:val="23"/>
        </w:rPr>
        <w:t>2 </w:t>
      </w:r>
      <w:r w:rsidRPr="00240323">
        <w:rPr>
          <w:rFonts w:ascii="黑体" w:eastAsia="黑体" w:hAnsi="黑体" w:cs="宋体" w:hint="eastAsia"/>
          <w:b/>
          <w:bCs/>
          <w:color w:val="000000"/>
          <w:spacing w:val="8"/>
          <w:kern w:val="0"/>
          <w:sz w:val="23"/>
          <w:szCs w:val="23"/>
        </w:rPr>
        <w:t>新版药典的主要特点</w:t>
      </w:r>
      <w:r w:rsidRPr="00240323">
        <w:rPr>
          <w:rFonts w:ascii="黑体" w:eastAsia="黑体" w:hAnsi="黑体" w:cs="宋体" w:hint="eastAsia"/>
          <w:b/>
          <w:bCs/>
          <w:color w:val="000000"/>
          <w:spacing w:val="8"/>
          <w:kern w:val="0"/>
          <w:sz w:val="23"/>
          <w:szCs w:val="23"/>
        </w:rPr>
        <w:br/>
      </w:r>
      <w:r w:rsidRPr="00240323">
        <w:rPr>
          <w:rFonts w:ascii="仿宋_GB2312" w:eastAsia="仿宋_GB2312" w:hAnsi="仿宋_GB2312" w:cs="仿宋_GB2312" w:hint="eastAsia"/>
          <w:b/>
          <w:bCs/>
          <w:color w:val="000000"/>
          <w:kern w:val="0"/>
          <w:sz w:val="23"/>
          <w:szCs w:val="23"/>
        </w:rPr>
        <w:t>2.1稳步推进药典品种收载</w:t>
      </w:r>
      <w:r w:rsidRPr="00240323">
        <w:rPr>
          <w:rFonts w:ascii="仿宋_GB2312" w:eastAsia="仿宋_GB2312" w:hAnsi="仿宋_GB2312" w:cs="仿宋_GB2312" w:hint="eastAsia"/>
          <w:color w:val="000000"/>
          <w:kern w:val="0"/>
          <w:sz w:val="23"/>
          <w:szCs w:val="23"/>
        </w:rPr>
        <w:br/>
        <w:t>与</w:t>
      </w:r>
      <w:r w:rsidRPr="00240323">
        <w:rPr>
          <w:rFonts w:ascii="宋体" w:eastAsia="宋体" w:hAnsi="宋体" w:cs="宋体"/>
          <w:color w:val="000000"/>
          <w:kern w:val="0"/>
          <w:sz w:val="23"/>
          <w:szCs w:val="23"/>
        </w:rPr>
        <w:t>2015</w:t>
      </w:r>
      <w:r w:rsidRPr="00240323">
        <w:rPr>
          <w:rFonts w:ascii="仿宋_GB2312" w:eastAsia="仿宋_GB2312" w:hAnsi="仿宋_GB2312" w:cs="仿宋_GB2312" w:hint="eastAsia"/>
          <w:color w:val="000000"/>
          <w:kern w:val="0"/>
          <w:sz w:val="23"/>
          <w:szCs w:val="23"/>
        </w:rPr>
        <w:t>年版药典</w:t>
      </w:r>
      <w:r w:rsidRPr="00240323">
        <w:rPr>
          <w:rFonts w:ascii="宋体" w:eastAsia="宋体" w:hAnsi="宋体" w:cs="宋体"/>
          <w:color w:val="000000"/>
          <w:kern w:val="0"/>
          <w:sz w:val="23"/>
          <w:szCs w:val="23"/>
        </w:rPr>
        <w:t>5608</w:t>
      </w:r>
      <w:r w:rsidRPr="00240323">
        <w:rPr>
          <w:rFonts w:ascii="仿宋_GB2312" w:eastAsia="仿宋_GB2312" w:hAnsi="仿宋_GB2312" w:cs="仿宋_GB2312" w:hint="eastAsia"/>
          <w:color w:val="000000"/>
          <w:kern w:val="0"/>
          <w:sz w:val="23"/>
          <w:szCs w:val="23"/>
        </w:rPr>
        <w:t>种相比，新版药典收载品种增长</w:t>
      </w:r>
      <w:r w:rsidRPr="00240323">
        <w:rPr>
          <w:rFonts w:ascii="宋体" w:eastAsia="宋体" w:hAnsi="宋体" w:cs="宋体"/>
          <w:color w:val="000000"/>
          <w:kern w:val="0"/>
          <w:sz w:val="23"/>
          <w:szCs w:val="23"/>
        </w:rPr>
        <w:t>5.5%</w:t>
      </w:r>
      <w:r w:rsidRPr="00240323">
        <w:rPr>
          <w:rFonts w:ascii="仿宋_GB2312" w:eastAsia="仿宋_GB2312" w:hAnsi="仿宋_GB2312" w:cs="仿宋_GB2312" w:hint="eastAsia"/>
          <w:color w:val="000000"/>
          <w:kern w:val="0"/>
          <w:sz w:val="23"/>
          <w:szCs w:val="23"/>
        </w:rPr>
        <w:t>。新版药典品种收载坚持以临床需求为导向，进一步扩大国家基本药物目录和国家基本医疗保险用药目录品种的收载，临床常用药品的质量得到进一步保障（见图</w:t>
      </w:r>
      <w:r w:rsidRPr="00240323">
        <w:rPr>
          <w:rFonts w:ascii="宋体" w:eastAsia="宋体" w:hAnsi="宋体" w:cs="宋体"/>
          <w:color w:val="000000"/>
          <w:kern w:val="0"/>
          <w:sz w:val="23"/>
          <w:szCs w:val="23"/>
        </w:rPr>
        <w:t>1</w:t>
      </w:r>
      <w:r w:rsidRPr="00240323">
        <w:rPr>
          <w:rFonts w:ascii="仿宋_GB2312" w:eastAsia="仿宋_GB2312" w:hAnsi="仿宋_GB2312" w:cs="仿宋_GB2312" w:hint="eastAsia"/>
          <w:color w:val="000000"/>
          <w:kern w:val="0"/>
          <w:sz w:val="23"/>
          <w:szCs w:val="23"/>
        </w:rPr>
        <w:t>）。及时收载生物药康柏西普、脊髓灰质炎灭活疫苗等新上市品种，充分体现我国医药创新研发最新成果。</w:t>
      </w:r>
      <w:r w:rsidRPr="00240323">
        <w:rPr>
          <w:rFonts w:ascii="仿宋_GB2312" w:eastAsia="仿宋_GB2312" w:hAnsi="仿宋_GB2312" w:cs="仿宋_GB2312" w:hint="eastAsia"/>
          <w:color w:val="000000"/>
          <w:kern w:val="0"/>
          <w:sz w:val="23"/>
          <w:szCs w:val="23"/>
        </w:rPr>
        <w:br/>
      </w:r>
      <w:r w:rsidRPr="00240323">
        <w:rPr>
          <w:rFonts w:ascii="仿宋_GB2312" w:eastAsia="仿宋_GB2312" w:hAnsi="仿宋_GB2312" w:cs="仿宋_GB2312" w:hint="eastAsia"/>
          <w:b/>
          <w:bCs/>
          <w:color w:val="0080FF"/>
          <w:kern w:val="0"/>
          <w:sz w:val="23"/>
          <w:szCs w:val="23"/>
        </w:rPr>
        <w:t>表2  1953-2020年版《中国药典》收载品种数量情况表</w:t>
      </w:r>
      <w:r w:rsidRPr="00240323">
        <w:rPr>
          <w:rFonts w:ascii="宋体" w:eastAsia="宋体" w:hAnsi="宋体" w:cs="宋体"/>
          <w:kern w:val="0"/>
          <w:sz w:val="24"/>
        </w:rPr>
        <w:fldChar w:fldCharType="begin"/>
      </w:r>
      <w:r w:rsidRPr="00240323">
        <w:rPr>
          <w:rFonts w:ascii="宋体" w:eastAsia="宋体" w:hAnsi="宋体" w:cs="宋体"/>
          <w:kern w:val="0"/>
          <w:sz w:val="24"/>
        </w:rPr>
        <w:instrText xml:space="preserve"> INCLUDEPICTURE "https://mmbiz.qpic.cn/mmbiz_png/movc96iaFUoc6mRRL0HE7wiah1Vpl3nUBcZFwsHOVK5PlWgVVJUFTwcpUGaGcebnNwPrLzQvjEsaYhYicZaBq4exA/640?wx_fmt=png&amp;tp=webp&amp;wxfrom=5&amp;wx_lazy=1&amp;wx_co=1" \* MERGEFORMATINET </w:instrText>
      </w:r>
      <w:r w:rsidRPr="00240323">
        <w:rPr>
          <w:rFonts w:ascii="宋体" w:eastAsia="宋体" w:hAnsi="宋体" w:cs="宋体"/>
          <w:kern w:val="0"/>
          <w:sz w:val="24"/>
        </w:rPr>
        <w:fldChar w:fldCharType="separate"/>
      </w:r>
      <w:r w:rsidRPr="00240323">
        <w:rPr>
          <w:rFonts w:ascii="宋体" w:eastAsia="宋体" w:hAnsi="宋体" w:cs="宋体"/>
          <w:noProof/>
          <w:kern w:val="0"/>
          <w:sz w:val="24"/>
        </w:rPr>
        <mc:AlternateContent>
          <mc:Choice Requires="wps">
            <w:drawing>
              <wp:inline distT="0" distB="0" distL="0" distR="0">
                <wp:extent cx="304800" cy="30480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EC5D4" id="矩形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" filled="f" stroked="f">
                <o:lock v:ext="edit" aspectratio="t"/>
                <w10:anchorlock/>
              </v:rect>
            </w:pict>
          </mc:Fallback>
        </mc:AlternateContent>
      </w:r>
      <w:r w:rsidRPr="00240323">
        <w:rPr>
          <w:rFonts w:ascii="宋体" w:eastAsia="宋体" w:hAnsi="宋体" w:cs="宋体"/>
          <w:kern w:val="0"/>
          <w:sz w:val="24"/>
        </w:rPr>
        <w:fldChar w:fldCharType="end"/>
      </w:r>
      <w:r w:rsidRPr="00240323">
        <w:rPr>
          <w:rFonts w:ascii="宋体" w:eastAsia="宋体" w:hAnsi="宋体" w:cs="宋体"/>
          <w:kern w:val="0"/>
          <w:sz w:val="24"/>
        </w:rPr>
        <w:br/>
      </w:r>
      <w:r w:rsidRPr="00240323">
        <w:rPr>
          <w:rFonts w:ascii="宋体" w:eastAsia="宋体" w:hAnsi="宋体" w:cs="宋体"/>
          <w:kern w:val="0"/>
          <w:sz w:val="24"/>
        </w:rPr>
        <w:br/>
      </w:r>
      <w:r w:rsidRPr="00240323">
        <w:rPr>
          <w:rFonts w:ascii="仿宋_GB2312" w:eastAsia="仿宋_GB2312" w:hAnsi="仿宋_GB2312" w:cs="仿宋_GB2312" w:hint="eastAsia"/>
          <w:b/>
          <w:bCs/>
          <w:color w:val="000000"/>
          <w:kern w:val="0"/>
          <w:sz w:val="23"/>
          <w:szCs w:val="23"/>
        </w:rPr>
        <w:t>2.2药典标准体系进一步完善</w:t>
      </w:r>
      <w:r w:rsidRPr="00240323">
        <w:rPr>
          <w:rFonts w:ascii="仿宋_GB2312" w:eastAsia="仿宋_GB2312" w:hAnsi="仿宋_GB2312" w:cs="仿宋_GB2312" w:hint="eastAsia"/>
          <w:color w:val="000000"/>
          <w:kern w:val="0"/>
          <w:sz w:val="23"/>
          <w:szCs w:val="23"/>
        </w:rPr>
        <w:br/>
      </w:r>
      <w:r w:rsidRPr="00240323">
        <w:rPr>
          <w:rFonts w:ascii="宋体" w:eastAsia="宋体" w:hAnsi="宋体" w:cs="宋体"/>
          <w:color w:val="000000"/>
          <w:kern w:val="0"/>
          <w:sz w:val="23"/>
          <w:szCs w:val="23"/>
        </w:rPr>
        <w:t>2020</w:t>
      </w:r>
      <w:r w:rsidRPr="00240323">
        <w:rPr>
          <w:rFonts w:ascii="仿宋_GB2312" w:eastAsia="仿宋_GB2312" w:hAnsi="仿宋_GB2312" w:cs="仿宋_GB2312" w:hint="eastAsia"/>
          <w:color w:val="000000"/>
          <w:kern w:val="0"/>
          <w:sz w:val="23"/>
          <w:szCs w:val="23"/>
        </w:rPr>
        <w:t>年版药典编制工作以建立科学、全面、可检验、能执行的标准体系为重点，构建并完善了以凡例为基本要求、通则为总体规定、指导原则为技术引导、品种正文为具体要求的药典架构，不断健全以《中国药典》为核心的国家药品标准体系。通过加强对药典相关通用技术要求和正文具体内容的制修订，整体提升我国药品标准水平，推进我国上市药品质量迈上新台阶。一是贯彻落实药品全生命周期的监管理念，加强了药品研发、生产、过程控制、质量控制、包装、运输、贮藏、有效性、稳定性考察等通用技术要求的制定，药品质量控制由终端逐步向源头和生产过程控制延伸，将风险控制点前移，全面保障药品的质量。二是完善药品检验方法学研究体系建设，建立并完善了分析方法验证、方法转移、方法确认以及生物检验统计等技术规范要求，为科学规范制定药品标准夯实了基础。三是结合各类药品特性及质量控制关键点，进一步健全中药、化学药和生物药涉及安全性和有效性的标准体系。四是加强了原料药、药用辅料以及药包材等相关通用技术要求的制修订，逐步形成以保障制剂质量为目标的原辅包标准体系，为推进关联审评审批制度改革提供技术支撑。</w:t>
      </w:r>
      <w:r w:rsidRPr="00240323">
        <w:rPr>
          <w:rFonts w:ascii="仿宋_GB2312" w:eastAsia="仿宋_GB2312" w:hAnsi="仿宋_GB2312" w:cs="仿宋_GB2312" w:hint="eastAsia"/>
          <w:color w:val="000000"/>
          <w:kern w:val="0"/>
          <w:sz w:val="23"/>
          <w:szCs w:val="23"/>
        </w:rPr>
        <w:br/>
      </w:r>
      <w:r w:rsidRPr="00240323">
        <w:rPr>
          <w:rFonts w:ascii="仿宋_GB2312" w:eastAsia="仿宋_GB2312" w:hAnsi="仿宋_GB2312" w:cs="仿宋_GB2312" w:hint="eastAsia"/>
          <w:b/>
          <w:bCs/>
          <w:color w:val="000000"/>
          <w:kern w:val="0"/>
          <w:sz w:val="23"/>
          <w:szCs w:val="23"/>
        </w:rPr>
        <w:lastRenderedPageBreak/>
        <w:t>2.3成熟分析检测技术应用进一步扩大</w:t>
      </w:r>
      <w:r w:rsidRPr="00240323">
        <w:rPr>
          <w:rFonts w:ascii="仿宋_GB2312" w:eastAsia="仿宋_GB2312" w:hAnsi="仿宋_GB2312" w:cs="仿宋_GB2312" w:hint="eastAsia"/>
          <w:color w:val="000000"/>
          <w:kern w:val="0"/>
          <w:sz w:val="23"/>
          <w:szCs w:val="23"/>
        </w:rPr>
        <w:br/>
        <w:t>新版药典对标</w:t>
      </w:r>
      <w:r w:rsidRPr="00240323">
        <w:rPr>
          <w:rFonts w:ascii="仿宋_GB2312" w:eastAsia="仿宋_GB2312" w:hAnsi="仿宋_GB2312" w:cs="仿宋_GB2312" w:hint="eastAsia"/>
          <w:color w:val="000000"/>
          <w:spacing w:val="-2"/>
          <w:kern w:val="0"/>
          <w:sz w:val="23"/>
          <w:szCs w:val="23"/>
        </w:rPr>
        <w:t>国际，紧跟国际前沿，借鉴国际先进标准经验，不断扩大成熟检测技术在药品质量控制中的应用，进一步提高</w:t>
      </w:r>
      <w:r w:rsidRPr="00240323">
        <w:rPr>
          <w:rFonts w:ascii="仿宋_GB2312" w:eastAsia="仿宋_GB2312" w:hAnsi="仿宋_GB2312" w:cs="仿宋_GB2312" w:hint="eastAsia"/>
          <w:color w:val="000000"/>
          <w:kern w:val="0"/>
          <w:sz w:val="23"/>
          <w:szCs w:val="23"/>
        </w:rPr>
        <w:t>检测方法的灵敏度、专属性、适用性和可靠</w:t>
      </w:r>
      <w:r w:rsidRPr="00240323">
        <w:rPr>
          <w:rFonts w:ascii="仿宋_GB2312" w:eastAsia="仿宋_GB2312" w:hAnsi="仿宋_GB2312" w:cs="仿宋_GB2312" w:hint="eastAsia"/>
          <w:color w:val="000000"/>
          <w:spacing w:val="-2"/>
          <w:kern w:val="0"/>
          <w:sz w:val="23"/>
          <w:szCs w:val="23"/>
        </w:rPr>
        <w:t>性，对加强药品质量控制，保障药品质量，提升药品监管能力发挥重要作用。建立分子生物学检测标准体系，制定相关技术指导原则，新增聚合酶链式反应（</w:t>
      </w:r>
      <w:r w:rsidRPr="00240323">
        <w:rPr>
          <w:rFonts w:ascii="宋体" w:eastAsia="宋体" w:hAnsi="宋体" w:cs="宋体"/>
          <w:color w:val="000000"/>
          <w:spacing w:val="-2"/>
          <w:kern w:val="0"/>
          <w:sz w:val="23"/>
          <w:szCs w:val="23"/>
        </w:rPr>
        <w:t>PCR</w:t>
      </w:r>
      <w:r w:rsidRPr="00240323">
        <w:rPr>
          <w:rFonts w:ascii="仿宋_GB2312" w:eastAsia="仿宋_GB2312" w:hAnsi="仿宋_GB2312" w:cs="仿宋_GB2312" w:hint="eastAsia"/>
          <w:color w:val="000000"/>
          <w:spacing w:val="-2"/>
          <w:kern w:val="0"/>
          <w:sz w:val="23"/>
          <w:szCs w:val="23"/>
        </w:rPr>
        <w:t>）法，</w:t>
      </w:r>
      <w:r w:rsidRPr="00240323">
        <w:rPr>
          <w:rFonts w:ascii="宋体" w:eastAsia="宋体" w:hAnsi="宋体" w:cs="宋体"/>
          <w:color w:val="000000"/>
          <w:spacing w:val="-2"/>
          <w:kern w:val="0"/>
          <w:sz w:val="23"/>
          <w:szCs w:val="23"/>
        </w:rPr>
        <w:t>DNA</w:t>
      </w:r>
      <w:r w:rsidRPr="00240323">
        <w:rPr>
          <w:rFonts w:ascii="仿宋_GB2312" w:eastAsia="仿宋_GB2312" w:hAnsi="仿宋_GB2312" w:cs="仿宋_GB2312" w:hint="eastAsia"/>
          <w:color w:val="000000"/>
          <w:spacing w:val="-2"/>
          <w:kern w:val="0"/>
          <w:sz w:val="23"/>
          <w:szCs w:val="23"/>
        </w:rPr>
        <w:t>测序技术指导原则，为中药材（饮片）、动物组织来源材料、生物制品起始材料以及微生物污染溯源鉴定的推广应用奠定了基础。新增检测方法，强化质控手段。新增</w:t>
      </w:r>
      <w:r w:rsidRPr="00240323">
        <w:rPr>
          <w:rFonts w:ascii="宋体" w:eastAsia="宋体" w:hAnsi="宋体" w:cs="宋体"/>
          <w:color w:val="000000"/>
          <w:spacing w:val="-2"/>
          <w:kern w:val="0"/>
          <w:sz w:val="23"/>
          <w:szCs w:val="23"/>
        </w:rPr>
        <w:t>X</w:t>
      </w:r>
      <w:r w:rsidRPr="00240323">
        <w:rPr>
          <w:rFonts w:ascii="仿宋_GB2312" w:eastAsia="仿宋_GB2312" w:hAnsi="仿宋_GB2312" w:cs="仿宋_GB2312" w:hint="eastAsia"/>
          <w:color w:val="000000"/>
          <w:spacing w:val="-2"/>
          <w:kern w:val="0"/>
          <w:sz w:val="23"/>
          <w:szCs w:val="23"/>
        </w:rPr>
        <w:t>射线荧光光谱法用于元素杂质控制；</w:t>
      </w:r>
      <w:r w:rsidRPr="00240323">
        <w:rPr>
          <w:rFonts w:ascii="仿宋_GB2312" w:eastAsia="仿宋_GB2312" w:hAnsi="仿宋_GB2312" w:cs="仿宋_GB2312" w:hint="eastAsia"/>
          <w:color w:val="000000"/>
          <w:kern w:val="0"/>
          <w:sz w:val="23"/>
          <w:szCs w:val="23"/>
        </w:rPr>
        <w:t>采用光阻法替代显微法检查乳粒粒径；转基因检测技术应用于重组产品活性检测，新增免疫化学法通则等。</w:t>
      </w:r>
      <w:r w:rsidRPr="00240323">
        <w:rPr>
          <w:rFonts w:ascii="仿宋_GB2312" w:eastAsia="仿宋_GB2312" w:hAnsi="仿宋_GB2312" w:cs="仿宋_GB2312" w:hint="eastAsia"/>
          <w:color w:val="000000"/>
          <w:spacing w:val="-2"/>
          <w:kern w:val="0"/>
          <w:sz w:val="23"/>
          <w:szCs w:val="23"/>
        </w:rPr>
        <w:t>扩大成熟检验方法在药品质量控制的应用，如</w:t>
      </w:r>
      <w:r w:rsidRPr="00240323">
        <w:rPr>
          <w:rFonts w:ascii="仿宋_GB2312" w:eastAsia="仿宋_GB2312" w:hAnsi="仿宋_GB2312" w:cs="仿宋_GB2312" w:hint="eastAsia"/>
          <w:color w:val="000000"/>
          <w:kern w:val="0"/>
          <w:sz w:val="23"/>
          <w:szCs w:val="23"/>
        </w:rPr>
        <w:t>采用液质联用法用于中药中多种真菌毒素的检测，采用气质联用法对农药多残留进行定性鉴别，高效液相色谱法逐步替代薄层色谱法测定化学药有关物质，高效液相色谱法用于抗毒素分子大小分布检测等。</w:t>
      </w:r>
      <w:r w:rsidRPr="00240323">
        <w:rPr>
          <w:rFonts w:ascii="仿宋_GB2312" w:eastAsia="仿宋_GB2312" w:hAnsi="仿宋_GB2312" w:cs="仿宋_GB2312" w:hint="eastAsia"/>
          <w:color w:val="000000"/>
          <w:kern w:val="0"/>
          <w:sz w:val="23"/>
          <w:szCs w:val="23"/>
        </w:rPr>
        <w:br/>
      </w:r>
      <w:r w:rsidRPr="00240323">
        <w:rPr>
          <w:rFonts w:ascii="仿宋_GB2312" w:eastAsia="仿宋_GB2312" w:hAnsi="仿宋_GB2312" w:cs="仿宋_GB2312" w:hint="eastAsia"/>
          <w:b/>
          <w:bCs/>
          <w:color w:val="000000"/>
          <w:kern w:val="0"/>
          <w:sz w:val="23"/>
          <w:szCs w:val="23"/>
        </w:rPr>
        <w:t>2.4药品安全性控制要求不断加强</w:t>
      </w:r>
      <w:r w:rsidRPr="00240323">
        <w:rPr>
          <w:rFonts w:ascii="仿宋_GB2312" w:eastAsia="仿宋_GB2312" w:hAnsi="仿宋_GB2312" w:cs="仿宋_GB2312" w:hint="eastAsia"/>
          <w:color w:val="000000"/>
          <w:kern w:val="0"/>
          <w:sz w:val="23"/>
          <w:szCs w:val="23"/>
        </w:rPr>
        <w:br/>
      </w:r>
      <w:r w:rsidRPr="00240323">
        <w:rPr>
          <w:rFonts w:ascii="仿宋_GB2312" w:eastAsia="仿宋_GB2312" w:hAnsi="仿宋_GB2312" w:cs="仿宋_GB2312" w:hint="eastAsia"/>
          <w:color w:val="000000"/>
          <w:spacing w:val="-2"/>
          <w:kern w:val="0"/>
          <w:sz w:val="23"/>
          <w:szCs w:val="23"/>
        </w:rPr>
        <w:t>在中药方面：</w:t>
      </w:r>
      <w:r w:rsidRPr="00240323">
        <w:rPr>
          <w:rFonts w:ascii="仿宋_GB2312" w:eastAsia="仿宋_GB2312" w:hAnsi="仿宋_GB2312" w:cs="仿宋_GB2312" w:hint="eastAsia"/>
          <w:color w:val="000000"/>
          <w:kern w:val="0"/>
          <w:sz w:val="23"/>
          <w:szCs w:val="23"/>
        </w:rPr>
        <w:t>加强对中药材（饮片）</w:t>
      </w:r>
      <w:r w:rsidRPr="00240323">
        <w:rPr>
          <w:rFonts w:ascii="宋体" w:eastAsia="宋体" w:hAnsi="宋体" w:cs="宋体"/>
          <w:color w:val="000000"/>
          <w:kern w:val="0"/>
          <w:sz w:val="23"/>
          <w:szCs w:val="23"/>
        </w:rPr>
        <w:t>33</w:t>
      </w:r>
      <w:r w:rsidRPr="00240323">
        <w:rPr>
          <w:rFonts w:ascii="仿宋_GB2312" w:eastAsia="仿宋_GB2312" w:hAnsi="仿宋_GB2312" w:cs="仿宋_GB2312" w:hint="eastAsia"/>
          <w:color w:val="000000"/>
          <w:kern w:val="0"/>
          <w:sz w:val="23"/>
          <w:szCs w:val="23"/>
        </w:rPr>
        <w:t>种禁用农残的控制。加强对中药材（饮片）真菌毒素的控制，在控制黄曲霉毒素基础上，增订了对人体危害较大的展青霉素、赭曲霉毒素</w:t>
      </w:r>
      <w:r w:rsidRPr="00240323">
        <w:rPr>
          <w:rFonts w:ascii="宋体" w:eastAsia="宋体" w:hAnsi="宋体" w:cs="宋体"/>
          <w:color w:val="000000"/>
          <w:kern w:val="0"/>
          <w:sz w:val="23"/>
          <w:szCs w:val="23"/>
        </w:rPr>
        <w:t>A</w:t>
      </w:r>
      <w:r w:rsidRPr="00240323">
        <w:rPr>
          <w:rFonts w:ascii="仿宋_GB2312" w:eastAsia="仿宋_GB2312" w:hAnsi="仿宋_GB2312" w:cs="仿宋_GB2312" w:hint="eastAsia"/>
          <w:color w:val="000000"/>
          <w:kern w:val="0"/>
          <w:sz w:val="23"/>
          <w:szCs w:val="23"/>
        </w:rPr>
        <w:t>、玉米赤霉烯酮、呕吐毒素等毒素控制。完善了《中药有害残留物限量制定指导原则》，指导合理制定</w:t>
      </w:r>
      <w:r w:rsidRPr="00240323">
        <w:rPr>
          <w:rFonts w:ascii="仿宋_GB2312" w:eastAsia="仿宋_GB2312" w:hAnsi="仿宋_GB2312" w:cs="仿宋_GB2312" w:hint="eastAsia"/>
          <w:color w:val="000000"/>
          <w:spacing w:val="-2"/>
          <w:kern w:val="0"/>
          <w:sz w:val="23"/>
          <w:szCs w:val="23"/>
        </w:rPr>
        <w:t>中药材（饮片）重金属、农残、真菌毒素等有害物质限度标准。</w:t>
      </w:r>
      <w:r w:rsidRPr="00240323">
        <w:rPr>
          <w:rFonts w:ascii="仿宋_GB2312" w:eastAsia="仿宋_GB2312" w:hAnsi="仿宋_GB2312" w:cs="仿宋_GB2312" w:hint="eastAsia"/>
          <w:color w:val="000000"/>
          <w:kern w:val="0"/>
          <w:sz w:val="23"/>
          <w:szCs w:val="23"/>
        </w:rPr>
        <w:t>加强中药内源性毒性成分药材的质量控制，不再收载含马兜铃酸类品种马兜铃、天仙藤标准，制定“九味羌活”丸中马兜铃酸</w:t>
      </w:r>
      <w:r w:rsidRPr="00240323">
        <w:rPr>
          <w:rFonts w:ascii="宋体" w:eastAsia="宋体" w:hAnsi="宋体" w:cs="宋体"/>
          <w:color w:val="000000"/>
          <w:kern w:val="0"/>
          <w:sz w:val="23"/>
          <w:szCs w:val="23"/>
        </w:rPr>
        <w:t>I</w:t>
      </w:r>
      <w:r w:rsidRPr="00240323">
        <w:rPr>
          <w:rFonts w:ascii="仿宋_GB2312" w:eastAsia="仿宋_GB2312" w:hAnsi="仿宋_GB2312" w:cs="仿宋_GB2312" w:hint="eastAsia"/>
          <w:color w:val="000000"/>
          <w:kern w:val="0"/>
          <w:sz w:val="23"/>
          <w:szCs w:val="23"/>
        </w:rPr>
        <w:t>的限量标准。</w:t>
      </w:r>
      <w:r w:rsidRPr="00240323">
        <w:rPr>
          <w:rFonts w:ascii="仿宋_GB2312" w:eastAsia="仿宋_GB2312" w:hAnsi="仿宋_GB2312" w:cs="仿宋_GB2312" w:hint="eastAsia"/>
          <w:color w:val="000000"/>
          <w:kern w:val="0"/>
          <w:sz w:val="23"/>
          <w:szCs w:val="23"/>
        </w:rPr>
        <w:br/>
      </w:r>
      <w:r w:rsidRPr="00240323">
        <w:rPr>
          <w:rFonts w:ascii="仿宋_GB2312" w:eastAsia="仿宋_GB2312" w:hAnsi="仿宋_GB2312" w:cs="仿宋_GB2312" w:hint="eastAsia"/>
          <w:color w:val="000000"/>
          <w:spacing w:val="-2"/>
          <w:kern w:val="0"/>
          <w:sz w:val="23"/>
          <w:szCs w:val="23"/>
        </w:rPr>
        <w:t>在化学药方面：加强药品杂质控制，</w:t>
      </w:r>
      <w:r w:rsidRPr="00240323">
        <w:rPr>
          <w:rFonts w:ascii="宋体" w:eastAsia="宋体" w:hAnsi="宋体" w:cs="宋体"/>
          <w:color w:val="000000"/>
          <w:kern w:val="0"/>
          <w:sz w:val="23"/>
          <w:szCs w:val="23"/>
        </w:rPr>
        <w:t>150</w:t>
      </w:r>
      <w:r w:rsidRPr="00240323">
        <w:rPr>
          <w:rFonts w:ascii="仿宋_GB2312" w:eastAsia="仿宋_GB2312" w:hAnsi="仿宋_GB2312" w:cs="仿宋_GB2312" w:hint="eastAsia"/>
          <w:color w:val="000000"/>
          <w:kern w:val="0"/>
          <w:sz w:val="23"/>
          <w:szCs w:val="23"/>
        </w:rPr>
        <w:t>个品种增修订有关物质检查项目及限度，明确</w:t>
      </w:r>
      <w:r w:rsidRPr="00240323">
        <w:rPr>
          <w:rFonts w:ascii="宋体" w:eastAsia="宋体" w:hAnsi="宋体" w:cs="宋体"/>
          <w:color w:val="000000"/>
          <w:kern w:val="0"/>
          <w:sz w:val="23"/>
          <w:szCs w:val="23"/>
        </w:rPr>
        <w:t>90</w:t>
      </w:r>
      <w:r w:rsidRPr="00240323">
        <w:rPr>
          <w:rFonts w:ascii="仿宋_GB2312" w:eastAsia="仿宋_GB2312" w:hAnsi="仿宋_GB2312" w:cs="仿宋_GB2312" w:hint="eastAsia"/>
          <w:color w:val="000000"/>
          <w:kern w:val="0"/>
          <w:sz w:val="23"/>
          <w:szCs w:val="23"/>
        </w:rPr>
        <w:t>多种杂质结构及相关信息；对可能引入基因毒性杂质部分产品，如磺酸盐类和沙坦类药物，在生产要求项目项下增订工艺的评估要求。重点加强高风险制剂涉及安全性控制项目的要求，如注射剂及眼用制剂中抑菌剂、抗氧剂，注射剂中非水溶剂，静脉输液及滴眼液的渗透压控制等。修订并规范了相关品种无菌和微生物限度要求。</w:t>
      </w:r>
      <w:r w:rsidRPr="00240323">
        <w:rPr>
          <w:rFonts w:ascii="仿宋_GB2312" w:eastAsia="仿宋_GB2312" w:hAnsi="仿宋_GB2312" w:cs="仿宋_GB2312" w:hint="eastAsia"/>
          <w:color w:val="000000"/>
          <w:kern w:val="0"/>
          <w:sz w:val="23"/>
          <w:szCs w:val="23"/>
        </w:rPr>
        <w:br/>
      </w:r>
      <w:r w:rsidRPr="00240323">
        <w:rPr>
          <w:rFonts w:ascii="仿宋_GB2312" w:eastAsia="仿宋_GB2312" w:hAnsi="仿宋_GB2312" w:cs="仿宋_GB2312" w:hint="eastAsia"/>
          <w:color w:val="000000"/>
          <w:spacing w:val="-2"/>
          <w:kern w:val="0"/>
          <w:sz w:val="23"/>
          <w:szCs w:val="23"/>
        </w:rPr>
        <w:t>在生物制品方面：加强了对病毒安全性控制，</w:t>
      </w:r>
      <w:r w:rsidRPr="00240323">
        <w:rPr>
          <w:rFonts w:ascii="仿宋_GB2312" w:eastAsia="仿宋_GB2312" w:hAnsi="仿宋_GB2312" w:cs="仿宋_GB2312" w:hint="eastAsia"/>
          <w:color w:val="000000"/>
          <w:kern w:val="0"/>
          <w:sz w:val="23"/>
          <w:szCs w:val="23"/>
        </w:rPr>
        <w:t>原料血浆增订病毒核酸标志物检测，增订生物制品病毒安全控制通则。新增氢氧化铝佐剂质量控制通则，提升了疫苗佐剂质量。明确了</w:t>
      </w:r>
      <w:r w:rsidRPr="00240323">
        <w:rPr>
          <w:rFonts w:ascii="仿宋_GB2312" w:eastAsia="仿宋_GB2312" w:hAnsi="仿宋_GB2312" w:cs="仿宋_GB2312" w:hint="eastAsia"/>
          <w:color w:val="000000"/>
          <w:spacing w:val="-2"/>
          <w:kern w:val="0"/>
          <w:sz w:val="23"/>
          <w:szCs w:val="23"/>
        </w:rPr>
        <w:t>原液合批、</w:t>
      </w:r>
      <w:r w:rsidRPr="00240323">
        <w:rPr>
          <w:rFonts w:ascii="仿宋_GB2312" w:eastAsia="仿宋_GB2312" w:hAnsi="仿宋_GB2312" w:cs="仿宋_GB2312" w:hint="eastAsia"/>
          <w:color w:val="000000"/>
          <w:kern w:val="0"/>
          <w:sz w:val="23"/>
          <w:szCs w:val="23"/>
        </w:rPr>
        <w:t>防腐剂及抗生素使用的相关原则；</w:t>
      </w:r>
      <w:r w:rsidRPr="00240323">
        <w:rPr>
          <w:rFonts w:ascii="仿宋_GB2312" w:eastAsia="仿宋_GB2312" w:hAnsi="仿宋_GB2312" w:cs="仿宋_GB2312" w:hint="eastAsia"/>
          <w:color w:val="000000"/>
          <w:spacing w:val="-2"/>
          <w:kern w:val="0"/>
          <w:sz w:val="23"/>
          <w:szCs w:val="23"/>
        </w:rPr>
        <w:t>增订重组生物技术产品相关蛋白杂质的控制和限度</w:t>
      </w:r>
      <w:r w:rsidRPr="00240323">
        <w:rPr>
          <w:rFonts w:ascii="仿宋_GB2312" w:eastAsia="仿宋_GB2312" w:hAnsi="仿宋_GB2312" w:cs="仿宋_GB2312" w:hint="eastAsia"/>
          <w:color w:val="000000"/>
          <w:kern w:val="0"/>
          <w:sz w:val="23"/>
          <w:szCs w:val="23"/>
        </w:rPr>
        <w:t>。</w:t>
      </w:r>
      <w:r w:rsidRPr="00240323">
        <w:rPr>
          <w:rFonts w:ascii="仿宋_GB2312" w:eastAsia="仿宋_GB2312" w:hAnsi="仿宋_GB2312" w:cs="仿宋_GB2312" w:hint="eastAsia"/>
          <w:color w:val="000000"/>
          <w:kern w:val="0"/>
          <w:sz w:val="23"/>
          <w:szCs w:val="23"/>
        </w:rPr>
        <w:br/>
      </w:r>
      <w:r w:rsidRPr="00240323">
        <w:rPr>
          <w:rFonts w:ascii="仿宋_GB2312" w:eastAsia="仿宋_GB2312" w:hAnsi="仿宋_GB2312" w:cs="仿宋_GB2312" w:hint="eastAsia"/>
          <w:b/>
          <w:bCs/>
          <w:color w:val="000000"/>
          <w:kern w:val="0"/>
          <w:sz w:val="23"/>
          <w:szCs w:val="23"/>
        </w:rPr>
        <w:t>2.5药品有效性控制不断完善</w:t>
      </w:r>
      <w:r w:rsidRPr="00240323">
        <w:rPr>
          <w:rFonts w:ascii="仿宋_GB2312" w:eastAsia="仿宋_GB2312" w:hAnsi="仿宋_GB2312" w:cs="仿宋_GB2312" w:hint="eastAsia"/>
          <w:color w:val="000000"/>
          <w:kern w:val="0"/>
          <w:sz w:val="23"/>
          <w:szCs w:val="23"/>
        </w:rPr>
        <w:br/>
      </w:r>
      <w:r w:rsidRPr="00240323">
        <w:rPr>
          <w:rFonts w:ascii="仿宋_GB2312" w:eastAsia="仿宋_GB2312" w:hAnsi="仿宋_GB2312" w:cs="仿宋_GB2312" w:hint="eastAsia"/>
          <w:color w:val="000000"/>
          <w:spacing w:val="-2"/>
          <w:kern w:val="0"/>
          <w:sz w:val="23"/>
          <w:szCs w:val="23"/>
        </w:rPr>
        <w:t>在中药方面：建立了显微检查法、薄层色谱法、高效液相色谱法、聚合酶链式反应（</w:t>
      </w:r>
      <w:r w:rsidRPr="00240323">
        <w:rPr>
          <w:rFonts w:ascii="宋体" w:eastAsia="宋体" w:hAnsi="宋体" w:cs="宋体"/>
          <w:color w:val="000000"/>
          <w:spacing w:val="-2"/>
          <w:kern w:val="0"/>
          <w:sz w:val="23"/>
          <w:szCs w:val="23"/>
        </w:rPr>
        <w:t>PCR</w:t>
      </w:r>
      <w:r w:rsidRPr="00240323">
        <w:rPr>
          <w:rFonts w:ascii="仿宋_GB2312" w:eastAsia="仿宋_GB2312" w:hAnsi="仿宋_GB2312" w:cs="仿宋_GB2312" w:hint="eastAsia"/>
          <w:color w:val="000000"/>
          <w:spacing w:val="-2"/>
          <w:kern w:val="0"/>
          <w:sz w:val="23"/>
          <w:szCs w:val="23"/>
        </w:rPr>
        <w:t>）法以及核酸序列检测法等一系列中药材（饮片）鉴别方法，提高了方法的专属性。基于研究建立了与临床疗效相关的成分含量控制，</w:t>
      </w:r>
      <w:r w:rsidRPr="00240323">
        <w:rPr>
          <w:rFonts w:ascii="仿宋_GB2312" w:eastAsia="仿宋_GB2312" w:hAnsi="仿宋_GB2312" w:cs="仿宋_GB2312" w:hint="eastAsia"/>
          <w:color w:val="000000"/>
          <w:kern w:val="0"/>
          <w:sz w:val="23"/>
          <w:szCs w:val="23"/>
        </w:rPr>
        <w:t>如丹参中的丹酚酸</w:t>
      </w:r>
      <w:r w:rsidRPr="00240323">
        <w:rPr>
          <w:rFonts w:ascii="宋体" w:eastAsia="宋体" w:hAnsi="宋体" w:cs="宋体"/>
          <w:color w:val="000000"/>
          <w:kern w:val="0"/>
          <w:sz w:val="23"/>
          <w:szCs w:val="23"/>
        </w:rPr>
        <w:t>B</w:t>
      </w:r>
      <w:r w:rsidRPr="00240323">
        <w:rPr>
          <w:rFonts w:ascii="仿宋_GB2312" w:eastAsia="仿宋_GB2312" w:hAnsi="仿宋_GB2312" w:cs="仿宋_GB2312" w:hint="eastAsia"/>
          <w:color w:val="000000"/>
          <w:kern w:val="0"/>
          <w:sz w:val="23"/>
          <w:szCs w:val="23"/>
        </w:rPr>
        <w:t>和葛根中的葛根素的含量测定方法。以质量为标的，制定成分限量标准，加强质量可控性，如针对青翘和老翘的相同指标分别制定不同限度标准。建立专属性高的指标成分控制项目，体现中药炮制“生熟异治”传统特色，如熟地黄饮片增加地黄苷</w:t>
      </w:r>
      <w:r w:rsidRPr="00240323">
        <w:rPr>
          <w:rFonts w:ascii="宋体" w:eastAsia="宋体" w:hAnsi="宋体" w:cs="宋体"/>
          <w:color w:val="000000"/>
          <w:kern w:val="0"/>
          <w:sz w:val="23"/>
          <w:szCs w:val="23"/>
        </w:rPr>
        <w:t>D</w:t>
      </w:r>
      <w:r w:rsidRPr="00240323">
        <w:rPr>
          <w:rFonts w:ascii="仿宋_GB2312" w:eastAsia="仿宋_GB2312" w:hAnsi="仿宋_GB2312" w:cs="仿宋_GB2312" w:hint="eastAsia"/>
          <w:color w:val="000000"/>
          <w:kern w:val="0"/>
          <w:sz w:val="23"/>
          <w:szCs w:val="23"/>
        </w:rPr>
        <w:t>的含量测定指标。</w:t>
      </w:r>
      <w:r w:rsidRPr="00240323">
        <w:rPr>
          <w:rFonts w:ascii="仿宋_GB2312" w:eastAsia="仿宋_GB2312" w:hAnsi="仿宋_GB2312" w:cs="仿宋_GB2312" w:hint="eastAsia"/>
          <w:color w:val="000000"/>
          <w:kern w:val="0"/>
          <w:sz w:val="23"/>
          <w:szCs w:val="23"/>
        </w:rPr>
        <w:br/>
      </w:r>
      <w:r w:rsidRPr="00240323">
        <w:rPr>
          <w:rFonts w:ascii="仿宋_GB2312" w:eastAsia="仿宋_GB2312" w:hAnsi="仿宋_GB2312" w:cs="仿宋_GB2312" w:hint="eastAsia"/>
          <w:color w:val="000000"/>
          <w:spacing w:val="-2"/>
          <w:kern w:val="0"/>
          <w:sz w:val="23"/>
          <w:szCs w:val="23"/>
        </w:rPr>
        <w:t>在化学药方面：完善药品制剂的有效性指标项目，针对不同剂型特点，增订相应控制项目，如克霉唑阴道膨胀栓增加了膨胀值检查；铝碳酸镁咀嚼片修订了制酸力测定法。进一步完善口服固体制剂溶出度检测方法，</w:t>
      </w:r>
      <w:r w:rsidRPr="00240323">
        <w:rPr>
          <w:rFonts w:ascii="宋体" w:eastAsia="宋体" w:hAnsi="宋体" w:cs="宋体"/>
          <w:color w:val="000000"/>
          <w:kern w:val="0"/>
          <w:sz w:val="23"/>
          <w:szCs w:val="23"/>
        </w:rPr>
        <w:t>83</w:t>
      </w:r>
      <w:r w:rsidRPr="00240323">
        <w:rPr>
          <w:rFonts w:ascii="仿宋_GB2312" w:eastAsia="仿宋_GB2312" w:hAnsi="仿宋_GB2312" w:cs="仿宋_GB2312" w:hint="eastAsia"/>
          <w:color w:val="000000"/>
          <w:kern w:val="0"/>
          <w:sz w:val="23"/>
          <w:szCs w:val="23"/>
        </w:rPr>
        <w:t>个品种新增或修订了溶出度项目。加强与放射性药品活性相关的检查方法的研究和增订，部分品种增加了放射性核纯度检查。</w:t>
      </w:r>
      <w:r w:rsidRPr="00240323">
        <w:rPr>
          <w:rFonts w:ascii="仿宋_GB2312" w:eastAsia="仿宋_GB2312" w:hAnsi="仿宋_GB2312" w:cs="仿宋_GB2312" w:hint="eastAsia"/>
          <w:color w:val="000000"/>
          <w:spacing w:val="-2"/>
          <w:kern w:val="0"/>
          <w:sz w:val="23"/>
          <w:szCs w:val="23"/>
        </w:rPr>
        <w:t>在生物制品方面：增订了人用聚乙二醇化重组蛋白及多肽制品、螨变应原制品和人用基因治疗制品总论等，重组类治疗生物制品</w:t>
      </w:r>
      <w:r w:rsidRPr="00240323">
        <w:rPr>
          <w:rFonts w:ascii="仿宋_GB2312" w:eastAsia="仿宋_GB2312" w:hAnsi="仿宋_GB2312" w:cs="仿宋_GB2312" w:hint="eastAsia"/>
          <w:color w:val="000000"/>
          <w:kern w:val="0"/>
          <w:sz w:val="23"/>
          <w:szCs w:val="23"/>
        </w:rPr>
        <w:t>增订了相关蛋白检测及限度要求等。</w:t>
      </w:r>
      <w:r w:rsidRPr="00240323">
        <w:rPr>
          <w:rFonts w:ascii="仿宋_GB2312" w:eastAsia="仿宋_GB2312" w:hAnsi="仿宋_GB2312" w:cs="仿宋_GB2312" w:hint="eastAsia"/>
          <w:color w:val="000000"/>
          <w:kern w:val="0"/>
          <w:sz w:val="23"/>
          <w:szCs w:val="23"/>
        </w:rPr>
        <w:br/>
      </w:r>
      <w:r w:rsidRPr="00240323">
        <w:rPr>
          <w:rFonts w:ascii="仿宋_GB2312" w:eastAsia="仿宋_GB2312" w:hAnsi="仿宋_GB2312" w:cs="仿宋_GB2312" w:hint="eastAsia"/>
          <w:b/>
          <w:bCs/>
          <w:color w:val="000000"/>
          <w:spacing w:val="-2"/>
          <w:kern w:val="0"/>
          <w:sz w:val="23"/>
          <w:szCs w:val="23"/>
        </w:rPr>
        <w:lastRenderedPageBreak/>
        <w:t> 2.6全过程质量控制体系逐步构建</w:t>
      </w:r>
      <w:r w:rsidRPr="00240323">
        <w:rPr>
          <w:rFonts w:ascii="仿宋_GB2312" w:eastAsia="仿宋_GB2312" w:hAnsi="仿宋_GB2312" w:cs="仿宋_GB2312" w:hint="eastAsia"/>
          <w:color w:val="000000"/>
          <w:spacing w:val="-2"/>
          <w:kern w:val="0"/>
          <w:sz w:val="23"/>
          <w:szCs w:val="23"/>
        </w:rPr>
        <w:br/>
      </w:r>
      <w:r w:rsidRPr="00240323">
        <w:rPr>
          <w:rFonts w:ascii="仿宋" w:eastAsia="仿宋" w:hAnsi="仿宋" w:cs="宋体" w:hint="eastAsia"/>
          <w:color w:val="000000"/>
          <w:kern w:val="0"/>
          <w:sz w:val="23"/>
          <w:szCs w:val="23"/>
        </w:rPr>
        <w:t>进一步加强了涉及药品研发、生产、检测、运输、包装、贮藏等可能影响药品质量环节的相关指导原则的制定，逐步构建全过程质量控制体系。完善了灭菌工艺验证、环境检测等相关技术要求，修订了非无菌药品微生物限度标准、药品洁净实验室微生物监测和控制指导原则、无菌检查用隔离系统验证指导原则、药品微生物实验室质量管理指导原则。</w:t>
      </w:r>
      <w:r w:rsidRPr="00240323">
        <w:rPr>
          <w:rFonts w:ascii="仿宋" w:eastAsia="仿宋" w:hAnsi="仿宋" w:cs="宋体" w:hint="eastAsia"/>
          <w:color w:val="000000"/>
          <w:kern w:val="0"/>
          <w:sz w:val="23"/>
          <w:szCs w:val="23"/>
        </w:rPr>
        <w:br/>
        <w:t>通过对注射剂生产过程中无菌保障体系的评估与调查，增订了灭菌用生物指示剂指导原则、生物指示剂耐受性检查法指导原则，并系统修订了灭菌法，明确企业对控制生产过程中的微生物污染承担主体责任。对制剂通则整体框架进行较系统的增修订，为控制和保证制剂生产的“批内差异性和批间一致性”，特别明确了“单位剂量均匀性”要求，以体现制剂全过程控制的理念；提出了“复检期”概念，引导药品生产企业根据产品自身稳定性进行前瞻性的质量考察；对“生产与贮藏期间应符合下列规定”的体例及内容进行了统一，即按照：原辅料→工艺与技术→质量与控制→包装与使用→贮存与运输等五个方面的技术要点做出规范，对相关剂型增订了工艺控制技术要求。</w:t>
      </w:r>
      <w:r w:rsidRPr="00240323">
        <w:rPr>
          <w:rFonts w:ascii="仿宋" w:eastAsia="仿宋" w:hAnsi="仿宋" w:cs="宋体" w:hint="eastAsia"/>
          <w:color w:val="000000"/>
          <w:kern w:val="0"/>
          <w:sz w:val="23"/>
          <w:szCs w:val="23"/>
        </w:rPr>
        <w:br/>
      </w:r>
      <w:r w:rsidRPr="00240323">
        <w:rPr>
          <w:rFonts w:ascii="仿宋" w:eastAsia="仿宋" w:hAnsi="仿宋" w:cs="宋体" w:hint="eastAsia"/>
          <w:b/>
          <w:bCs/>
          <w:color w:val="000000"/>
          <w:kern w:val="0"/>
          <w:sz w:val="23"/>
          <w:szCs w:val="23"/>
        </w:rPr>
        <w:t>2.7辅料标准水平进一步提升</w:t>
      </w:r>
      <w:r w:rsidRPr="00240323">
        <w:rPr>
          <w:rFonts w:ascii="仿宋" w:eastAsia="仿宋" w:hAnsi="仿宋" w:cs="宋体" w:hint="eastAsia"/>
          <w:color w:val="000000"/>
          <w:kern w:val="0"/>
          <w:sz w:val="23"/>
          <w:szCs w:val="23"/>
        </w:rPr>
        <w:br/>
      </w:r>
      <w:r w:rsidRPr="00240323">
        <w:rPr>
          <w:rFonts w:ascii="仿宋_GB2312" w:eastAsia="仿宋_GB2312" w:hAnsi="仿宋_GB2312" w:cs="仿宋_GB2312" w:hint="eastAsia"/>
          <w:color w:val="000000"/>
          <w:kern w:val="0"/>
          <w:sz w:val="23"/>
          <w:szCs w:val="23"/>
        </w:rPr>
        <w:t>进一步增加制剂生产常用药用辅料标准的收载，与2015年版收载270个药用辅料标准相比增长19.4%。贯彻原辅包关联审评审批制度质量控制理念，不断健全药用辅料国家标准体系，加强药用辅料自身安全性控制，基于辅料杂质或自身降解产物可能对制剂安全性和稳定性产生的影响，建立相应的控制项目和限度标准，完善辅料相关功能性控制项目的设了、评价方法的建立以及限度标准的制定。整体提升药用辅料的控制要求，进一步保证制剂质量。</w:t>
      </w:r>
      <w:r w:rsidRPr="00240323">
        <w:rPr>
          <w:rFonts w:ascii="仿宋_GB2312" w:eastAsia="仿宋_GB2312" w:hAnsi="仿宋_GB2312" w:cs="仿宋_GB2312" w:hint="eastAsia"/>
          <w:b/>
          <w:bCs/>
          <w:color w:val="000000"/>
          <w:kern w:val="0"/>
          <w:sz w:val="23"/>
          <w:szCs w:val="23"/>
        </w:rPr>
        <w:br/>
        <w:t>2.8国际标准协调进一步加强</w:t>
      </w:r>
      <w:r w:rsidRPr="00240323">
        <w:rPr>
          <w:rFonts w:ascii="仿宋_GB2312" w:eastAsia="仿宋_GB2312" w:hAnsi="仿宋_GB2312" w:cs="仿宋_GB2312" w:hint="eastAsia"/>
          <w:color w:val="000000"/>
          <w:kern w:val="0"/>
          <w:sz w:val="23"/>
          <w:szCs w:val="23"/>
        </w:rPr>
        <w:br/>
      </w:r>
      <w:r w:rsidRPr="00240323">
        <w:rPr>
          <w:rFonts w:ascii="宋体" w:eastAsia="宋体" w:hAnsi="宋体" w:cs="宋体"/>
          <w:color w:val="000000"/>
          <w:kern w:val="0"/>
          <w:sz w:val="23"/>
          <w:szCs w:val="23"/>
        </w:rPr>
        <w:t> </w:t>
      </w:r>
      <w:r w:rsidRPr="00240323">
        <w:rPr>
          <w:rFonts w:ascii="仿宋_GB2312" w:eastAsia="仿宋_GB2312" w:hAnsi="仿宋_GB2312" w:cs="仿宋_GB2312" w:hint="eastAsia"/>
          <w:color w:val="000000"/>
          <w:kern w:val="0"/>
          <w:sz w:val="23"/>
          <w:szCs w:val="23"/>
        </w:rPr>
        <w:t>加强与国外药典的比对研究，注重国际成熟技术标准的借鉴和转化</w:t>
      </w:r>
      <w:r w:rsidRPr="00240323">
        <w:rPr>
          <w:rFonts w:ascii="仿宋_GB2312" w:eastAsia="仿宋_GB2312" w:hAnsi="仿宋_GB2312" w:cs="仿宋_GB2312" w:hint="eastAsia"/>
          <w:color w:val="000000"/>
          <w:spacing w:val="-2"/>
          <w:kern w:val="0"/>
          <w:sz w:val="23"/>
          <w:szCs w:val="23"/>
        </w:rPr>
        <w:t>，不断推进与各国药典标准的协调。参考人用药品注册技术要求国际协调会</w:t>
      </w:r>
      <w:r w:rsidRPr="00240323">
        <w:rPr>
          <w:rFonts w:ascii="仿宋_GB2312" w:eastAsia="仿宋_GB2312" w:hAnsi="仿宋_GB2312" w:cs="仿宋_GB2312" w:hint="eastAsia"/>
          <w:color w:val="000000"/>
          <w:kern w:val="0"/>
          <w:sz w:val="23"/>
          <w:szCs w:val="23"/>
        </w:rPr>
        <w:t>（</w:t>
      </w:r>
      <w:r w:rsidRPr="00240323">
        <w:rPr>
          <w:rFonts w:ascii="宋体" w:eastAsia="宋体" w:hAnsi="宋体" w:cs="宋体"/>
          <w:color w:val="000000"/>
          <w:kern w:val="0"/>
          <w:sz w:val="23"/>
          <w:szCs w:val="23"/>
        </w:rPr>
        <w:t>ICH</w:t>
      </w:r>
      <w:r w:rsidRPr="00240323">
        <w:rPr>
          <w:rFonts w:ascii="仿宋_GB2312" w:eastAsia="仿宋_GB2312" w:hAnsi="仿宋_GB2312" w:cs="仿宋_GB2312" w:hint="eastAsia"/>
          <w:color w:val="000000"/>
          <w:kern w:val="0"/>
          <w:sz w:val="23"/>
          <w:szCs w:val="23"/>
        </w:rPr>
        <w:t>）</w:t>
      </w:r>
      <w:r w:rsidRPr="00240323">
        <w:rPr>
          <w:rFonts w:ascii="仿宋_GB2312" w:eastAsia="仿宋_GB2312" w:hAnsi="仿宋_GB2312" w:cs="仿宋_GB2312" w:hint="eastAsia"/>
          <w:color w:val="000000"/>
          <w:spacing w:val="-2"/>
          <w:kern w:val="0"/>
          <w:sz w:val="23"/>
          <w:szCs w:val="23"/>
        </w:rPr>
        <w:t>相关指导原则，</w:t>
      </w:r>
      <w:r w:rsidRPr="00240323">
        <w:rPr>
          <w:rFonts w:ascii="仿宋_GB2312" w:eastAsia="仿宋_GB2312" w:hAnsi="仿宋_GB2312" w:cs="仿宋_GB2312" w:hint="eastAsia"/>
          <w:color w:val="000000"/>
          <w:kern w:val="0"/>
          <w:sz w:val="23"/>
          <w:szCs w:val="23"/>
        </w:rPr>
        <w:t>新增遗传毒性杂质控制指导原则，修订原料药物与制剂稳定性试验、分析方法验证、药品杂质分析等指导原则，新增溶出度测定流池法、堆密度和振实密度测定法，修订残留溶剂测定法等，逐步推进</w:t>
      </w:r>
      <w:proofErr w:type="spellStart"/>
      <w:r w:rsidRPr="00240323">
        <w:rPr>
          <w:rFonts w:ascii="宋体" w:eastAsia="宋体" w:hAnsi="宋体" w:cs="宋体"/>
          <w:color w:val="000000"/>
          <w:kern w:val="0"/>
          <w:sz w:val="23"/>
          <w:szCs w:val="23"/>
        </w:rPr>
        <w:t>ICH</w:t>
      </w:r>
      <w:proofErr w:type="spellEnd"/>
      <w:r w:rsidRPr="00240323">
        <w:rPr>
          <w:rFonts w:ascii="仿宋_GB2312" w:eastAsia="仿宋_GB2312" w:hAnsi="仿宋_GB2312" w:cs="仿宋_GB2312" w:hint="eastAsia"/>
          <w:color w:val="000000"/>
          <w:kern w:val="0"/>
          <w:sz w:val="23"/>
          <w:szCs w:val="23"/>
        </w:rPr>
        <w:t>相关指导原则在《中国药典》的转化实施。</w:t>
      </w:r>
      <w:r w:rsidRPr="00240323">
        <w:rPr>
          <w:rFonts w:ascii="仿宋_GB2312" w:eastAsia="仿宋_GB2312" w:hAnsi="仿宋_GB2312" w:cs="仿宋_GB2312" w:hint="eastAsia"/>
          <w:color w:val="000000"/>
          <w:kern w:val="0"/>
          <w:sz w:val="23"/>
          <w:szCs w:val="23"/>
        </w:rPr>
        <w:br/>
      </w:r>
      <w:r w:rsidRPr="00240323">
        <w:rPr>
          <w:rFonts w:ascii="仿宋_GB2312" w:eastAsia="仿宋_GB2312" w:hAnsi="仿宋_GB2312" w:cs="仿宋_GB2312" w:hint="eastAsia"/>
          <w:b/>
          <w:bCs/>
          <w:color w:val="000000"/>
          <w:kern w:val="0"/>
          <w:sz w:val="23"/>
          <w:szCs w:val="23"/>
        </w:rPr>
        <w:t>2.9药典导向作用进一步强化</w:t>
      </w:r>
      <w:r w:rsidRPr="00240323">
        <w:rPr>
          <w:rFonts w:ascii="仿宋_GB2312" w:eastAsia="仿宋_GB2312" w:hAnsi="仿宋_GB2312" w:cs="仿宋_GB2312" w:hint="eastAsia"/>
          <w:color w:val="000000"/>
          <w:kern w:val="0"/>
          <w:sz w:val="23"/>
          <w:szCs w:val="23"/>
        </w:rPr>
        <w:br/>
        <w:t>紧跟国际药品标准发展的趋势，兼顾我国药品生产的实际状况，在药品监管理念、质量控制要求、检测技术应用、工艺过程控制、产品研发指导等方面不断加强。在检测项目和限度标准设置方面，既考虑保障药品安全的底线，又充分关注临床用药的可及性，进一步强化药典对药品质量控制的导向作用。</w:t>
      </w:r>
      <w:r w:rsidRPr="00240323">
        <w:rPr>
          <w:rFonts w:ascii="仿宋_GB2312" w:eastAsia="仿宋_GB2312" w:hAnsi="仿宋_GB2312" w:cs="仿宋_GB2312" w:hint="eastAsia"/>
          <w:color w:val="000000"/>
          <w:kern w:val="0"/>
          <w:sz w:val="23"/>
          <w:szCs w:val="23"/>
        </w:rPr>
        <w:br/>
      </w:r>
      <w:r w:rsidRPr="00240323">
        <w:rPr>
          <w:rFonts w:ascii="黑体" w:eastAsia="黑体" w:hAnsi="黑体" w:cs="宋体" w:hint="eastAsia"/>
          <w:b/>
          <w:bCs/>
          <w:color w:val="000000"/>
          <w:kern w:val="0"/>
          <w:sz w:val="23"/>
          <w:szCs w:val="23"/>
        </w:rPr>
        <w:t>3</w:t>
      </w:r>
      <w:r w:rsidRPr="00240323">
        <w:rPr>
          <w:rFonts w:ascii="Times New Roman" w:eastAsia="黑体" w:hAnsi="Times New Roman" w:cs="Times New Roman"/>
          <w:b/>
          <w:bCs/>
          <w:color w:val="000000"/>
          <w:kern w:val="0"/>
          <w:sz w:val="23"/>
          <w:szCs w:val="23"/>
        </w:rPr>
        <w:t>   </w:t>
      </w:r>
      <w:r w:rsidRPr="00240323">
        <w:rPr>
          <w:rFonts w:ascii="黑体" w:eastAsia="黑体" w:hAnsi="黑体" w:cs="宋体" w:hint="eastAsia"/>
          <w:b/>
          <w:bCs/>
          <w:color w:val="000000"/>
          <w:kern w:val="0"/>
          <w:sz w:val="23"/>
          <w:szCs w:val="23"/>
        </w:rPr>
        <w:t>结语与展望</w:t>
      </w:r>
      <w:r w:rsidRPr="00240323">
        <w:rPr>
          <w:rFonts w:ascii="黑体" w:eastAsia="黑体" w:hAnsi="黑体" w:cs="宋体" w:hint="eastAsia"/>
          <w:color w:val="000000"/>
          <w:kern w:val="0"/>
          <w:sz w:val="23"/>
          <w:szCs w:val="23"/>
        </w:rPr>
        <w:br/>
      </w:r>
      <w:r w:rsidRPr="00240323">
        <w:rPr>
          <w:rFonts w:ascii="仿宋_GB2312" w:eastAsia="仿宋_GB2312" w:hAnsi="仿宋_GB2312" w:cs="仿宋_GB2312" w:hint="eastAsia"/>
          <w:color w:val="000000"/>
          <w:kern w:val="0"/>
          <w:sz w:val="23"/>
          <w:szCs w:val="23"/>
        </w:rPr>
        <w:t>《中国药典》</w:t>
      </w:r>
      <w:r w:rsidRPr="00240323">
        <w:rPr>
          <w:rFonts w:ascii="宋体" w:eastAsia="宋体" w:hAnsi="宋体" w:cs="宋体"/>
          <w:color w:val="000000"/>
          <w:kern w:val="0"/>
          <w:sz w:val="23"/>
          <w:szCs w:val="23"/>
        </w:rPr>
        <w:t>2020</w:t>
      </w:r>
      <w:r w:rsidRPr="00240323">
        <w:rPr>
          <w:rFonts w:ascii="仿宋_GB2312" w:eastAsia="仿宋_GB2312" w:hAnsi="仿宋_GB2312" w:cs="仿宋_GB2312" w:hint="eastAsia"/>
          <w:color w:val="000000"/>
          <w:kern w:val="0"/>
          <w:sz w:val="23"/>
          <w:szCs w:val="23"/>
        </w:rPr>
        <w:t>年版的编制，正值我国“国民经济和社会发展第十三个五年规划纲要”实施期间，是实现全面建成小康社会的决胜阶段，也是实施健康中国战略，建立创新型国家、由制药大国向制药强国迈进的重要时期。新版药典的问世，充分展现了我国科学技术和医药发展的成果，必将对提高上市药品质量，保证公众用药安全有效，提升我国医药产业和产品的整体水平，促进我国医药卫生事业高质量发展发挥重要的作用。</w:t>
      </w:r>
    </w:p>
    <w:p w:rsidR="004F27CA" w:rsidRPr="00240323" w:rsidRDefault="004F27CA" w:rsidP="00240323">
      <w:pPr>
        <w:rPr>
          <w:rFonts w:hint="eastAsia"/>
        </w:rPr>
      </w:pPr>
    </w:p>
    <w:sectPr w:rsidR="004F27CA" w:rsidRPr="00240323" w:rsidSect="00A90AA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20B0604020202020204"/>
    <w:charset w:val="86"/>
    <w:family w:val="roman"/>
    <w:pitch w:val="default"/>
    <w:sig w:usb0="00002A87" w:usb1="080E0000" w:usb2="00000010" w:usb3="00000000" w:csb0="000401FF" w:csb1="00000000"/>
  </w:font>
  <w:font w:name="Helvetica Neue">
    <w:panose1 w:val="02000503000000020004"/>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fixed"/>
    <w:sig w:usb0="00002A87" w:usb1="080E0000" w:usb2="00000010" w:usb3="00000000" w:csb0="000401FF"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D6CFB"/>
    <w:multiLevelType w:val="hybridMultilevel"/>
    <w:tmpl w:val="6F7EC8DE"/>
    <w:lvl w:ilvl="0" w:tplc="2FE0F9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88"/>
    <w:rsid w:val="00240323"/>
    <w:rsid w:val="003D6F88"/>
    <w:rsid w:val="004F27CA"/>
    <w:rsid w:val="00844E48"/>
    <w:rsid w:val="00964BF0"/>
    <w:rsid w:val="00A1356A"/>
    <w:rsid w:val="00A20107"/>
    <w:rsid w:val="00A90AA1"/>
    <w:rsid w:val="00C10573"/>
    <w:rsid w:val="00CC69C2"/>
    <w:rsid w:val="00E31D1F"/>
    <w:rsid w:val="00E37F04"/>
    <w:rsid w:val="00E57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E7D173"/>
  <w15:chartTrackingRefBased/>
  <w15:docId w15:val="{B8CD84C7-0B8A-284F-A6F9-87987BF3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7CA"/>
    <w:pPr>
      <w:ind w:firstLineChars="200" w:firstLine="420"/>
    </w:pPr>
  </w:style>
  <w:style w:type="paragraph" w:styleId="a4">
    <w:name w:val="Normal (Web)"/>
    <w:basedOn w:val="a"/>
    <w:uiPriority w:val="99"/>
    <w:semiHidden/>
    <w:unhideWhenUsed/>
    <w:rsid w:val="004F27CA"/>
    <w:pPr>
      <w:widowControl/>
      <w:spacing w:before="100" w:beforeAutospacing="1" w:after="100" w:afterAutospacing="1"/>
      <w:jc w:val="left"/>
    </w:pPr>
    <w:rPr>
      <w:rFonts w:ascii="宋体" w:eastAsia="宋体" w:hAnsi="宋体" w:cs="宋体"/>
      <w:kern w:val="0"/>
      <w:sz w:val="24"/>
    </w:rPr>
  </w:style>
  <w:style w:type="character" w:styleId="a5">
    <w:name w:val="Strong"/>
    <w:basedOn w:val="a0"/>
    <w:uiPriority w:val="22"/>
    <w:qFormat/>
    <w:rsid w:val="00240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7709">
      <w:bodyDiv w:val="1"/>
      <w:marLeft w:val="0"/>
      <w:marRight w:val="0"/>
      <w:marTop w:val="0"/>
      <w:marBottom w:val="0"/>
      <w:divBdr>
        <w:top w:val="none" w:sz="0" w:space="0" w:color="auto"/>
        <w:left w:val="none" w:sz="0" w:space="0" w:color="auto"/>
        <w:bottom w:val="none" w:sz="0" w:space="0" w:color="auto"/>
        <w:right w:val="none" w:sz="0" w:space="0" w:color="auto"/>
      </w:divBdr>
    </w:div>
    <w:div w:id="27419022">
      <w:bodyDiv w:val="1"/>
      <w:marLeft w:val="0"/>
      <w:marRight w:val="0"/>
      <w:marTop w:val="0"/>
      <w:marBottom w:val="0"/>
      <w:divBdr>
        <w:top w:val="none" w:sz="0" w:space="0" w:color="auto"/>
        <w:left w:val="none" w:sz="0" w:space="0" w:color="auto"/>
        <w:bottom w:val="none" w:sz="0" w:space="0" w:color="auto"/>
        <w:right w:val="none" w:sz="0" w:space="0" w:color="auto"/>
      </w:divBdr>
    </w:div>
    <w:div w:id="160776435">
      <w:bodyDiv w:val="1"/>
      <w:marLeft w:val="0"/>
      <w:marRight w:val="0"/>
      <w:marTop w:val="0"/>
      <w:marBottom w:val="0"/>
      <w:divBdr>
        <w:top w:val="none" w:sz="0" w:space="0" w:color="auto"/>
        <w:left w:val="none" w:sz="0" w:space="0" w:color="auto"/>
        <w:bottom w:val="none" w:sz="0" w:space="0" w:color="auto"/>
        <w:right w:val="none" w:sz="0" w:space="0" w:color="auto"/>
      </w:divBdr>
    </w:div>
    <w:div w:id="474227445">
      <w:bodyDiv w:val="1"/>
      <w:marLeft w:val="0"/>
      <w:marRight w:val="0"/>
      <w:marTop w:val="0"/>
      <w:marBottom w:val="0"/>
      <w:divBdr>
        <w:top w:val="none" w:sz="0" w:space="0" w:color="auto"/>
        <w:left w:val="none" w:sz="0" w:space="0" w:color="auto"/>
        <w:bottom w:val="none" w:sz="0" w:space="0" w:color="auto"/>
        <w:right w:val="none" w:sz="0" w:space="0" w:color="auto"/>
      </w:divBdr>
    </w:div>
    <w:div w:id="527567782">
      <w:bodyDiv w:val="1"/>
      <w:marLeft w:val="0"/>
      <w:marRight w:val="0"/>
      <w:marTop w:val="0"/>
      <w:marBottom w:val="0"/>
      <w:divBdr>
        <w:top w:val="none" w:sz="0" w:space="0" w:color="auto"/>
        <w:left w:val="none" w:sz="0" w:space="0" w:color="auto"/>
        <w:bottom w:val="none" w:sz="0" w:space="0" w:color="auto"/>
        <w:right w:val="none" w:sz="0" w:space="0" w:color="auto"/>
      </w:divBdr>
    </w:div>
    <w:div w:id="705720905">
      <w:bodyDiv w:val="1"/>
      <w:marLeft w:val="0"/>
      <w:marRight w:val="0"/>
      <w:marTop w:val="0"/>
      <w:marBottom w:val="0"/>
      <w:divBdr>
        <w:top w:val="none" w:sz="0" w:space="0" w:color="auto"/>
        <w:left w:val="none" w:sz="0" w:space="0" w:color="auto"/>
        <w:bottom w:val="none" w:sz="0" w:space="0" w:color="auto"/>
        <w:right w:val="none" w:sz="0" w:space="0" w:color="auto"/>
      </w:divBdr>
    </w:div>
    <w:div w:id="1344632008">
      <w:bodyDiv w:val="1"/>
      <w:marLeft w:val="0"/>
      <w:marRight w:val="0"/>
      <w:marTop w:val="0"/>
      <w:marBottom w:val="0"/>
      <w:divBdr>
        <w:top w:val="none" w:sz="0" w:space="0" w:color="auto"/>
        <w:left w:val="none" w:sz="0" w:space="0" w:color="auto"/>
        <w:bottom w:val="none" w:sz="0" w:space="0" w:color="auto"/>
        <w:right w:val="none" w:sz="0" w:space="0" w:color="auto"/>
      </w:divBdr>
    </w:div>
    <w:div w:id="1348096464">
      <w:bodyDiv w:val="1"/>
      <w:marLeft w:val="0"/>
      <w:marRight w:val="0"/>
      <w:marTop w:val="0"/>
      <w:marBottom w:val="0"/>
      <w:divBdr>
        <w:top w:val="none" w:sz="0" w:space="0" w:color="auto"/>
        <w:left w:val="none" w:sz="0" w:space="0" w:color="auto"/>
        <w:bottom w:val="none" w:sz="0" w:space="0" w:color="auto"/>
        <w:right w:val="none" w:sz="0" w:space="0" w:color="auto"/>
      </w:divBdr>
    </w:div>
    <w:div w:id="1477186139">
      <w:bodyDiv w:val="1"/>
      <w:marLeft w:val="0"/>
      <w:marRight w:val="0"/>
      <w:marTop w:val="0"/>
      <w:marBottom w:val="0"/>
      <w:divBdr>
        <w:top w:val="none" w:sz="0" w:space="0" w:color="auto"/>
        <w:left w:val="none" w:sz="0" w:space="0" w:color="auto"/>
        <w:bottom w:val="none" w:sz="0" w:space="0" w:color="auto"/>
        <w:right w:val="none" w:sz="0" w:space="0" w:color="auto"/>
      </w:divBdr>
    </w:div>
    <w:div w:id="1665089592">
      <w:bodyDiv w:val="1"/>
      <w:marLeft w:val="0"/>
      <w:marRight w:val="0"/>
      <w:marTop w:val="0"/>
      <w:marBottom w:val="0"/>
      <w:divBdr>
        <w:top w:val="none" w:sz="0" w:space="0" w:color="auto"/>
        <w:left w:val="none" w:sz="0" w:space="0" w:color="auto"/>
        <w:bottom w:val="none" w:sz="0" w:space="0" w:color="auto"/>
        <w:right w:val="none" w:sz="0" w:space="0" w:color="auto"/>
      </w:divBdr>
    </w:div>
    <w:div w:id="1765030965">
      <w:bodyDiv w:val="1"/>
      <w:marLeft w:val="0"/>
      <w:marRight w:val="0"/>
      <w:marTop w:val="0"/>
      <w:marBottom w:val="0"/>
      <w:divBdr>
        <w:top w:val="none" w:sz="0" w:space="0" w:color="auto"/>
        <w:left w:val="none" w:sz="0" w:space="0" w:color="auto"/>
        <w:bottom w:val="none" w:sz="0" w:space="0" w:color="auto"/>
        <w:right w:val="none" w:sz="0" w:space="0" w:color="auto"/>
      </w:divBdr>
    </w:div>
    <w:div w:id="1893417753">
      <w:bodyDiv w:val="1"/>
      <w:marLeft w:val="0"/>
      <w:marRight w:val="0"/>
      <w:marTop w:val="0"/>
      <w:marBottom w:val="0"/>
      <w:divBdr>
        <w:top w:val="none" w:sz="0" w:space="0" w:color="auto"/>
        <w:left w:val="none" w:sz="0" w:space="0" w:color="auto"/>
        <w:bottom w:val="none" w:sz="0" w:space="0" w:color="auto"/>
        <w:right w:val="none" w:sz="0" w:space="0" w:color="auto"/>
      </w:divBdr>
    </w:div>
    <w:div w:id="2031834320">
      <w:bodyDiv w:val="1"/>
      <w:marLeft w:val="0"/>
      <w:marRight w:val="0"/>
      <w:marTop w:val="0"/>
      <w:marBottom w:val="0"/>
      <w:divBdr>
        <w:top w:val="none" w:sz="0" w:space="0" w:color="auto"/>
        <w:left w:val="none" w:sz="0" w:space="0" w:color="auto"/>
        <w:bottom w:val="none" w:sz="0" w:space="0" w:color="auto"/>
        <w:right w:val="none" w:sz="0" w:space="0" w:color="auto"/>
      </w:divBdr>
      <w:divsChild>
        <w:div w:id="1940066335">
          <w:marLeft w:val="0"/>
          <w:marRight w:val="0"/>
          <w:marTop w:val="0"/>
          <w:marBottom w:val="0"/>
          <w:divBdr>
            <w:top w:val="none" w:sz="0" w:space="0" w:color="auto"/>
            <w:left w:val="none" w:sz="0" w:space="0" w:color="auto"/>
            <w:bottom w:val="none" w:sz="0" w:space="0" w:color="auto"/>
            <w:right w:val="none" w:sz="0" w:space="0" w:color="auto"/>
          </w:divBdr>
        </w:div>
        <w:div w:id="467555537">
          <w:marLeft w:val="0"/>
          <w:marRight w:val="0"/>
          <w:marTop w:val="0"/>
          <w:marBottom w:val="0"/>
          <w:divBdr>
            <w:top w:val="none" w:sz="0" w:space="0" w:color="auto"/>
            <w:left w:val="none" w:sz="0" w:space="0" w:color="auto"/>
            <w:bottom w:val="none" w:sz="0" w:space="0" w:color="auto"/>
            <w:right w:val="none" w:sz="0" w:space="0" w:color="auto"/>
          </w:divBdr>
          <w:divsChild>
            <w:div w:id="20714917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优</dc:creator>
  <cp:keywords/>
  <dc:description/>
  <cp:lastModifiedBy>吴 优</cp:lastModifiedBy>
  <cp:revision>2</cp:revision>
  <dcterms:created xsi:type="dcterms:W3CDTF">2020-06-23T01:36:00Z</dcterms:created>
  <dcterms:modified xsi:type="dcterms:W3CDTF">2020-06-24T09:24:00Z</dcterms:modified>
</cp:coreProperties>
</file>